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5F2C" w14:textId="77777777" w:rsidR="00A44228" w:rsidRPr="00A44228" w:rsidRDefault="00C32B70" w:rsidP="00A44228">
      <w:pPr>
        <w:spacing w:line="259" w:lineRule="auto"/>
        <w:jc w:val="right"/>
        <w:rPr>
          <w:bCs/>
          <w:i/>
          <w:iCs/>
          <w:sz w:val="22"/>
          <w:szCs w:val="22"/>
          <w:lang w:val="lv-LV" w:eastAsia="en-US"/>
        </w:rPr>
      </w:pPr>
      <w:r w:rsidRPr="00A44228">
        <w:rPr>
          <w:bCs/>
          <w:i/>
          <w:iCs/>
          <w:sz w:val="22"/>
          <w:szCs w:val="22"/>
          <w:lang w:val="lv-LV" w:eastAsia="en-US"/>
        </w:rPr>
        <w:t>pielikums</w:t>
      </w:r>
    </w:p>
    <w:p w14:paraId="6A36D307" w14:textId="77777777" w:rsidR="00A44228" w:rsidRPr="00A44228" w:rsidRDefault="00A44228" w:rsidP="00A44228">
      <w:pPr>
        <w:spacing w:line="259" w:lineRule="auto"/>
        <w:jc w:val="right"/>
        <w:rPr>
          <w:bCs/>
          <w:i/>
          <w:iCs/>
          <w:sz w:val="22"/>
          <w:szCs w:val="22"/>
          <w:lang w:val="lv-LV" w:eastAsia="en-US"/>
        </w:rPr>
      </w:pPr>
    </w:p>
    <w:p w14:paraId="3E2A9F6F" w14:textId="77777777" w:rsidR="00A44228" w:rsidRPr="00A44228" w:rsidRDefault="00C32B70" w:rsidP="00A44228">
      <w:pPr>
        <w:spacing w:line="259" w:lineRule="auto"/>
        <w:jc w:val="right"/>
        <w:rPr>
          <w:bCs/>
          <w:sz w:val="22"/>
          <w:szCs w:val="22"/>
          <w:lang w:val="lv-LV" w:eastAsia="en-US"/>
        </w:rPr>
      </w:pPr>
      <w:r w:rsidRPr="00A44228">
        <w:rPr>
          <w:bCs/>
          <w:sz w:val="22"/>
          <w:szCs w:val="22"/>
          <w:lang w:val="lv-LV" w:eastAsia="en-US"/>
        </w:rPr>
        <w:t xml:space="preserve"> Saistošajiem noteikumiem Nr.2021/14</w:t>
      </w:r>
    </w:p>
    <w:p w14:paraId="2D295C13" w14:textId="77777777" w:rsidR="00A44228" w:rsidRPr="00A44228" w:rsidRDefault="00C32B70" w:rsidP="00A44228">
      <w:pPr>
        <w:spacing w:line="259" w:lineRule="auto"/>
        <w:jc w:val="right"/>
        <w:rPr>
          <w:b/>
          <w:bCs/>
          <w:sz w:val="22"/>
          <w:szCs w:val="22"/>
          <w:lang w:val="lv-LV"/>
        </w:rPr>
      </w:pPr>
      <w:r w:rsidRPr="00A44228">
        <w:rPr>
          <w:b/>
          <w:bCs/>
          <w:sz w:val="22"/>
          <w:szCs w:val="22"/>
          <w:lang w:val="lv-LV"/>
        </w:rPr>
        <w:t xml:space="preserve"> Par palīdzību bārenim un bez vecāku gādības palikušajam bērnam</w:t>
      </w:r>
    </w:p>
    <w:p w14:paraId="544AAEA6" w14:textId="5DCD4D47" w:rsidR="00A44228" w:rsidRPr="00A44228" w:rsidRDefault="00C32B70" w:rsidP="00A44228">
      <w:pPr>
        <w:spacing w:line="259" w:lineRule="auto"/>
        <w:jc w:val="right"/>
        <w:rPr>
          <w:b/>
          <w:bCs/>
          <w:sz w:val="22"/>
          <w:szCs w:val="22"/>
          <w:lang w:val="lv-LV"/>
        </w:rPr>
      </w:pPr>
      <w:r w:rsidRPr="00A44228">
        <w:rPr>
          <w:b/>
          <w:bCs/>
          <w:sz w:val="22"/>
          <w:szCs w:val="22"/>
          <w:lang w:val="lv-LV"/>
        </w:rPr>
        <w:t xml:space="preserve"> pēc pilngadības sasniegšanas Aizkraukles novadā</w:t>
      </w:r>
    </w:p>
    <w:p w14:paraId="281A91AF" w14:textId="77777777" w:rsidR="00A44228" w:rsidRPr="00A44228" w:rsidRDefault="00A44228" w:rsidP="00A44228">
      <w:pPr>
        <w:spacing w:line="259" w:lineRule="auto"/>
        <w:jc w:val="right"/>
        <w:rPr>
          <w:bCs/>
          <w:sz w:val="22"/>
          <w:szCs w:val="22"/>
          <w:lang w:val="lv-LV" w:eastAsia="en-US"/>
        </w:rPr>
      </w:pPr>
    </w:p>
    <w:p w14:paraId="36FC9046" w14:textId="77777777" w:rsidR="00A44228" w:rsidRPr="00A44228" w:rsidRDefault="00A44228" w:rsidP="00A44228">
      <w:pPr>
        <w:rPr>
          <w:bCs/>
          <w:i/>
          <w:iCs/>
          <w:sz w:val="24"/>
          <w:szCs w:val="24"/>
          <w:lang w:val="lv-LV" w:eastAsia="en-US"/>
        </w:rPr>
      </w:pPr>
    </w:p>
    <w:p w14:paraId="1237A88C" w14:textId="77777777" w:rsidR="00A44228" w:rsidRPr="00A44228" w:rsidRDefault="00C32B70" w:rsidP="00A44228">
      <w:pPr>
        <w:spacing w:line="259" w:lineRule="auto"/>
        <w:jc w:val="center"/>
        <w:rPr>
          <w:b/>
          <w:bCs/>
          <w:sz w:val="22"/>
          <w:szCs w:val="22"/>
          <w:lang w:val="lv-LV" w:eastAsia="en-US"/>
        </w:rPr>
      </w:pPr>
      <w:r w:rsidRPr="00A44228">
        <w:rPr>
          <w:b/>
          <w:bCs/>
          <w:sz w:val="22"/>
          <w:szCs w:val="22"/>
          <w:lang w:val="lv-LV" w:eastAsia="en-US"/>
        </w:rPr>
        <w:t>Aizkraukles novada domes 2021.gada 21.oktobra</w:t>
      </w:r>
    </w:p>
    <w:p w14:paraId="7C49B189" w14:textId="086F4D53" w:rsidR="00A44228" w:rsidRPr="00A44228" w:rsidRDefault="00C32B70" w:rsidP="00A44228">
      <w:pPr>
        <w:spacing w:line="259" w:lineRule="auto"/>
        <w:jc w:val="center"/>
        <w:rPr>
          <w:b/>
          <w:bCs/>
          <w:sz w:val="22"/>
          <w:szCs w:val="22"/>
          <w:lang w:val="lv-LV" w:eastAsia="en-US"/>
        </w:rPr>
      </w:pPr>
      <w:r w:rsidRPr="00A44228">
        <w:rPr>
          <w:b/>
          <w:bCs/>
          <w:sz w:val="22"/>
          <w:szCs w:val="22"/>
          <w:lang w:val="lv-LV" w:eastAsia="en-US"/>
        </w:rPr>
        <w:t>Saistošo noteikumu Nr.2021/14</w:t>
      </w:r>
    </w:p>
    <w:p w14:paraId="322CDB31" w14:textId="5A4680F0" w:rsidR="00A44228" w:rsidRPr="00A44228" w:rsidRDefault="00C32B70" w:rsidP="00A44228">
      <w:pPr>
        <w:spacing w:line="259" w:lineRule="auto"/>
        <w:jc w:val="center"/>
        <w:rPr>
          <w:b/>
          <w:bCs/>
          <w:sz w:val="24"/>
          <w:szCs w:val="24"/>
          <w:lang w:val="lv-LV"/>
        </w:rPr>
      </w:pPr>
      <w:r w:rsidRPr="00A44228">
        <w:rPr>
          <w:b/>
          <w:bCs/>
          <w:sz w:val="24"/>
          <w:szCs w:val="24"/>
          <w:lang w:val="lv-LV"/>
        </w:rPr>
        <w:t xml:space="preserve">“Par </w:t>
      </w:r>
      <w:r w:rsidRPr="00A44228">
        <w:rPr>
          <w:b/>
          <w:bCs/>
          <w:sz w:val="24"/>
          <w:szCs w:val="24"/>
          <w:lang w:val="lv-LV"/>
        </w:rPr>
        <w:t>palīdzību bārenim un bez vecāku gādības palikušajam bērnam pēc pilngadības sasniegšanas Aizkraukles novadā”</w:t>
      </w:r>
    </w:p>
    <w:p w14:paraId="2D4D7A74" w14:textId="77EECC24" w:rsidR="00B852F0" w:rsidRPr="00A44228" w:rsidRDefault="00C32B70" w:rsidP="00270B15">
      <w:pPr>
        <w:spacing w:after="80" w:line="259" w:lineRule="auto"/>
        <w:jc w:val="center"/>
        <w:rPr>
          <w:b/>
          <w:bCs/>
          <w:sz w:val="24"/>
          <w:szCs w:val="24"/>
          <w:lang w:val="lv-LV"/>
        </w:rPr>
      </w:pPr>
      <w:r w:rsidRPr="00A44228">
        <w:rPr>
          <w:rFonts w:eastAsiaTheme="minorHAnsi"/>
          <w:b/>
          <w:bCs/>
          <w:sz w:val="22"/>
          <w:szCs w:val="22"/>
          <w:lang w:val="lv-LV" w:eastAsia="en-US"/>
        </w:rPr>
        <w:t>PASKAIDROJUMA RAKSTS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6946"/>
      </w:tblGrid>
      <w:tr w:rsidR="00765B4F" w14:paraId="6CB762C5" w14:textId="77777777" w:rsidTr="00A44228">
        <w:trPr>
          <w:cantSplit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691" w14:textId="77777777" w:rsidR="00B852F0" w:rsidRPr="00A44228" w:rsidRDefault="00C32B70">
            <w:pPr>
              <w:pStyle w:val="naiskr"/>
              <w:spacing w:before="120" w:after="12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44228">
              <w:rPr>
                <w:b/>
                <w:bCs/>
                <w:i/>
                <w:iCs/>
                <w:sz w:val="20"/>
                <w:szCs w:val="20"/>
              </w:rPr>
              <w:t>Paskaidrojuma raksta sadaļas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14A9" w14:textId="77777777" w:rsidR="00B852F0" w:rsidRPr="00A44228" w:rsidRDefault="00C32B70">
            <w:pPr>
              <w:pStyle w:val="naisnod"/>
              <w:spacing w:before="0" w:after="0"/>
              <w:rPr>
                <w:i/>
                <w:iCs/>
                <w:sz w:val="20"/>
                <w:szCs w:val="20"/>
                <w:lang w:eastAsia="en-US"/>
              </w:rPr>
            </w:pPr>
            <w:r w:rsidRPr="00A44228">
              <w:rPr>
                <w:i/>
                <w:iCs/>
                <w:sz w:val="20"/>
                <w:szCs w:val="20"/>
                <w:lang w:eastAsia="en-US"/>
              </w:rPr>
              <w:t>Norādāmā informācija</w:t>
            </w:r>
          </w:p>
        </w:tc>
      </w:tr>
      <w:tr w:rsidR="00765B4F" w14:paraId="052AF05C" w14:textId="77777777" w:rsidTr="00A44228">
        <w:trPr>
          <w:cantSplit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156E" w14:textId="77777777" w:rsidR="00B852F0" w:rsidRPr="00A44228" w:rsidRDefault="00C32B70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A44228">
              <w:rPr>
                <w:sz w:val="22"/>
                <w:szCs w:val="22"/>
              </w:rPr>
              <w:t>1. Projekta nepieciešamības pamatojums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7992" w14:textId="77777777" w:rsidR="00566F72" w:rsidRPr="00A44228" w:rsidRDefault="00C32B70" w:rsidP="00566F72">
            <w:pPr>
              <w:spacing w:after="120"/>
              <w:jc w:val="both"/>
              <w:rPr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 xml:space="preserve">Administratīvo teritoriju un </w:t>
            </w:r>
            <w:r w:rsidRPr="00A44228">
              <w:rPr>
                <w:sz w:val="22"/>
                <w:szCs w:val="22"/>
                <w:lang w:val="lv-LV"/>
              </w:rPr>
              <w:t>apdzīvoto vietu likuma Pārejas noteikumu 17.punktā Aizkraukles novada domei ir noteikts pienākums izvērtēt novadu veidojošo bijušo pašvaldību pieņemtos saistošos noteikumus un pieņemt jaunus novada saistošos noteikumus.</w:t>
            </w:r>
          </w:p>
          <w:p w14:paraId="6E27BA82" w14:textId="6226DCC4" w:rsidR="00B852F0" w:rsidRPr="00A44228" w:rsidRDefault="00C32B70" w:rsidP="00566F72">
            <w:pPr>
              <w:spacing w:after="120"/>
              <w:jc w:val="both"/>
              <w:rPr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>Saistošie noteikumi “Par palīdzību b</w:t>
            </w:r>
            <w:r w:rsidRPr="00A44228">
              <w:rPr>
                <w:sz w:val="22"/>
                <w:szCs w:val="22"/>
                <w:lang w:val="lv-LV"/>
              </w:rPr>
              <w:t>ārenim un bez vecāku gādības palikušajam bērnam pēc pilngadības sasniegšanas</w:t>
            </w:r>
            <w:r w:rsidRPr="00A44228">
              <w:rPr>
                <w:bCs/>
                <w:sz w:val="22"/>
                <w:szCs w:val="22"/>
                <w:lang w:val="lv-LV"/>
              </w:rPr>
              <w:t xml:space="preserve">” nosaka Aizkraukles novada pašvaldības pabalstus </w:t>
            </w:r>
            <w:r w:rsidRPr="00A44228">
              <w:rPr>
                <w:sz w:val="22"/>
                <w:szCs w:val="22"/>
                <w:lang w:val="lv-LV"/>
              </w:rPr>
              <w:t>bārenim un bez vecāku gādības palikušajam bērnam pēc pilngadības sasniegšanas, pabalstu aprēķināšanas un izmaksas kārtību.</w:t>
            </w:r>
          </w:p>
        </w:tc>
      </w:tr>
      <w:tr w:rsidR="00765B4F" w14:paraId="57276C89" w14:textId="77777777" w:rsidTr="00A44228">
        <w:trPr>
          <w:cantSplit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8E3" w14:textId="77777777" w:rsidR="00B852F0" w:rsidRPr="00A44228" w:rsidRDefault="00C32B70">
            <w:pPr>
              <w:pStyle w:val="naiskr"/>
              <w:spacing w:before="0" w:after="0"/>
              <w:rPr>
                <w:sz w:val="22"/>
                <w:szCs w:val="22"/>
              </w:rPr>
            </w:pPr>
            <w:r w:rsidRPr="00A44228">
              <w:rPr>
                <w:sz w:val="22"/>
                <w:szCs w:val="22"/>
              </w:rPr>
              <w:t>2. Īss</w:t>
            </w:r>
            <w:r w:rsidRPr="00A44228">
              <w:rPr>
                <w:sz w:val="22"/>
                <w:szCs w:val="22"/>
              </w:rPr>
              <w:t xml:space="preserve"> projekta satura izklāsts</w:t>
            </w:r>
          </w:p>
          <w:p w14:paraId="35E8B089" w14:textId="77777777" w:rsidR="00B852F0" w:rsidRPr="00A44228" w:rsidRDefault="00B852F0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FE34" w14:textId="1868EA9D" w:rsidR="00B852F0" w:rsidRPr="00A44228" w:rsidRDefault="00C32B70">
            <w:pPr>
              <w:jc w:val="both"/>
              <w:rPr>
                <w:rFonts w:eastAsia="Calibri"/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 xml:space="preserve">Saistošie noteikumi nosaka bārenim un bez vecāku gādības palikušajam bērnam pēc pilngadības sasniegšanas vienreizēju pabalstu patstāvīgas dzīves uzsākšanai,  vienreizēju pabalstu sadzīves priekšmetu un mīkstā inventāra </w:t>
            </w:r>
            <w:r w:rsidRPr="00A44228">
              <w:rPr>
                <w:sz w:val="22"/>
                <w:szCs w:val="22"/>
                <w:lang w:val="lv-LV"/>
              </w:rPr>
              <w:t>iegādei, pabalstu ikmēneša izdevumiem bērnam – mācību iestādes audzēknim un mājokļa pabalstu, pamatojoties uz likumu “</w:t>
            </w:r>
            <w:r w:rsidRPr="00A44228">
              <w:rPr>
                <w:sz w:val="22"/>
                <w:szCs w:val="22"/>
                <w:shd w:val="clear" w:color="auto" w:fill="FFFFFF"/>
                <w:lang w:val="lv-LV"/>
              </w:rPr>
              <w:t xml:space="preserve">Par palīdzību dzīvokļa jautājumu risināšanā”, </w:t>
            </w:r>
            <w:r w:rsidRPr="00A44228">
              <w:rPr>
                <w:sz w:val="22"/>
                <w:szCs w:val="22"/>
                <w:lang w:val="lv-LV"/>
              </w:rPr>
              <w:t xml:space="preserve">Ministru kabineta 15.11.2005. noteikumiem Nr.857 “Noteikumi par sociālajām garantijām bārenim un bez vecāku gādības palikušajam bērnam, kurš ir ārpusģimenes aprūpē, kā arī pēc ārpusģimenes aprūpes beigšanās” </w:t>
            </w:r>
            <w:r w:rsidRPr="00A44228">
              <w:rPr>
                <w:sz w:val="22"/>
                <w:szCs w:val="22"/>
                <w:shd w:val="clear" w:color="auto" w:fill="FFFFFF"/>
                <w:lang w:val="lv-LV"/>
              </w:rPr>
              <w:t>un  Ministru kabineta 17.12.2020. noteikumu Nr.8</w:t>
            </w:r>
            <w:r w:rsidRPr="00A44228">
              <w:rPr>
                <w:sz w:val="22"/>
                <w:szCs w:val="22"/>
                <w:shd w:val="clear" w:color="auto" w:fill="FFFFFF"/>
                <w:lang w:val="lv-LV"/>
              </w:rPr>
              <w:t>09</w:t>
            </w:r>
            <w:r w:rsidRPr="00A44228">
              <w:rPr>
                <w:rFonts w:ascii="Arial" w:hAnsi="Arial" w:cs="Arial"/>
                <w:b/>
                <w:bCs/>
                <w:color w:val="414142"/>
                <w:sz w:val="22"/>
                <w:szCs w:val="22"/>
                <w:shd w:val="clear" w:color="auto" w:fill="FFFFFF"/>
                <w:lang w:val="lv-LV"/>
              </w:rPr>
              <w:t xml:space="preserve"> </w:t>
            </w:r>
            <w:r w:rsidRPr="00A44228">
              <w:rPr>
                <w:color w:val="414142"/>
                <w:sz w:val="22"/>
                <w:szCs w:val="22"/>
                <w:shd w:val="clear" w:color="auto" w:fill="FFFFFF"/>
                <w:lang w:val="lv-LV"/>
              </w:rPr>
              <w:t>“</w:t>
            </w:r>
            <w:r w:rsidRPr="00A44228">
              <w:rPr>
                <w:sz w:val="22"/>
                <w:szCs w:val="22"/>
                <w:shd w:val="clear" w:color="auto" w:fill="FFFFFF"/>
                <w:lang w:val="lv-LV"/>
              </w:rPr>
              <w:t xml:space="preserve">Noteikumi par mājsaimniecības materiālās situācijas izvērtēšanu un sociālās palīdzības saņemšanu” noteiktajām mājokļa pabalsta aprēķināšanai izmantojamām izdevumu pozīciju minimālajām normām.  </w:t>
            </w:r>
            <w:r w:rsidRPr="00A44228">
              <w:rPr>
                <w:rFonts w:eastAsia="Calibri"/>
                <w:sz w:val="22"/>
                <w:szCs w:val="22"/>
                <w:lang w:val="lv-LV"/>
              </w:rPr>
              <w:t xml:space="preserve">Saistībā ar izmaiņām likumdošanā, no 01.01.2021. valstī ir </w:t>
            </w:r>
            <w:r w:rsidRPr="00A44228">
              <w:rPr>
                <w:rFonts w:eastAsia="Calibri"/>
                <w:sz w:val="22"/>
                <w:szCs w:val="22"/>
                <w:lang w:val="lv-LV"/>
              </w:rPr>
              <w:t>noteiktas minimālās šo pabalstu normas un saistošie noteikumi nosaka tām atbilstošus pabalsta apmērus Aizkraukles novada pašvaldībā.</w:t>
            </w:r>
          </w:p>
          <w:p w14:paraId="3AC949F7" w14:textId="49E08CD7" w:rsidR="00A44228" w:rsidRPr="00A44228" w:rsidRDefault="00A44228">
            <w:pPr>
              <w:jc w:val="both"/>
              <w:rPr>
                <w:b/>
                <w:bCs/>
                <w:sz w:val="22"/>
                <w:szCs w:val="22"/>
                <w:lang w:val="lv-LV" w:eastAsia="en-US"/>
              </w:rPr>
            </w:pPr>
          </w:p>
        </w:tc>
      </w:tr>
      <w:tr w:rsidR="00765B4F" w14:paraId="5CF469F8" w14:textId="77777777" w:rsidTr="00A44228">
        <w:trPr>
          <w:cantSplit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9B83" w14:textId="77777777" w:rsidR="00B852F0" w:rsidRPr="00A44228" w:rsidRDefault="00C32B70">
            <w:pPr>
              <w:rPr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>3. Informācija par plānoto projekta ietekmi uz budžetu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BEF8" w14:textId="77777777" w:rsidR="00B852F0" w:rsidRPr="00A44228" w:rsidRDefault="00C32B70">
            <w:pPr>
              <w:jc w:val="both"/>
              <w:rPr>
                <w:rFonts w:eastAsia="Calibri"/>
                <w:sz w:val="22"/>
                <w:szCs w:val="22"/>
                <w:lang w:val="lv-LV"/>
              </w:rPr>
            </w:pPr>
            <w:r w:rsidRPr="00A44228">
              <w:rPr>
                <w:rFonts w:eastAsia="Calibri"/>
                <w:sz w:val="22"/>
                <w:szCs w:val="22"/>
                <w:lang w:val="lv-LV"/>
              </w:rPr>
              <w:t>2020. gadā sociālo garantiju pabalstus  saņēma 32 bērni, šiem mērķ</w:t>
            </w:r>
            <w:r w:rsidRPr="00A44228">
              <w:rPr>
                <w:rFonts w:eastAsia="Calibri"/>
                <w:sz w:val="22"/>
                <w:szCs w:val="22"/>
                <w:lang w:val="lv-LV"/>
              </w:rPr>
              <w:t xml:space="preserve">iem izlietoti 25588 </w:t>
            </w:r>
            <w:r w:rsidRPr="00A44228">
              <w:rPr>
                <w:rFonts w:eastAsia="Calibri"/>
                <w:i/>
                <w:iCs/>
                <w:sz w:val="22"/>
                <w:szCs w:val="22"/>
                <w:lang w:val="lv-LV"/>
              </w:rPr>
              <w:t>euro</w:t>
            </w:r>
            <w:r w:rsidRPr="00A44228">
              <w:rPr>
                <w:rFonts w:eastAsia="Calibri"/>
                <w:sz w:val="22"/>
                <w:szCs w:val="22"/>
                <w:lang w:val="lv-LV"/>
              </w:rPr>
              <w:t xml:space="preserve">, </w:t>
            </w:r>
          </w:p>
          <w:p w14:paraId="4C77CC28" w14:textId="77777777" w:rsidR="00B852F0" w:rsidRPr="00A44228" w:rsidRDefault="00C32B70">
            <w:pPr>
              <w:jc w:val="both"/>
              <w:rPr>
                <w:sz w:val="22"/>
                <w:szCs w:val="22"/>
                <w:lang w:val="lv-LV"/>
              </w:rPr>
            </w:pPr>
            <w:r w:rsidRPr="00A44228">
              <w:rPr>
                <w:color w:val="000000" w:themeColor="text1"/>
                <w:sz w:val="22"/>
                <w:szCs w:val="22"/>
                <w:lang w:val="lv-LV"/>
              </w:rPr>
              <w:t xml:space="preserve">Saistošajos noteikumos minētie pabalsti </w:t>
            </w:r>
            <w:r w:rsidRPr="00A44228">
              <w:rPr>
                <w:sz w:val="22"/>
                <w:szCs w:val="22"/>
                <w:lang w:val="lv-LV"/>
              </w:rPr>
              <w:t>tiks nodrošināti sociālajām garantijām bāreņiem un bez vecāku gādības palikušajiem bērniem pēc pilngadības sasniegšanas plānoto  budžeta līdzekļu ietvaros.</w:t>
            </w:r>
          </w:p>
          <w:p w14:paraId="1BEFE36C" w14:textId="6A2FF285" w:rsidR="00A44228" w:rsidRPr="00A44228" w:rsidRDefault="00A44228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65B4F" w14:paraId="51BB2828" w14:textId="77777777" w:rsidTr="00A44228">
        <w:trPr>
          <w:cantSplit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30BA" w14:textId="77777777" w:rsidR="00B852F0" w:rsidRPr="00A44228" w:rsidRDefault="00C32B70">
            <w:pPr>
              <w:rPr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 xml:space="preserve">4. Normatīvā akta </w:t>
            </w:r>
            <w:r w:rsidRPr="00A44228">
              <w:rPr>
                <w:sz w:val="22"/>
                <w:szCs w:val="22"/>
                <w:lang w:val="lv-LV"/>
              </w:rPr>
              <w:t>ietekme uz sabiedrību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1D0C" w14:textId="77777777" w:rsidR="00B852F0" w:rsidRPr="00A44228" w:rsidRDefault="00C32B70">
            <w:pPr>
              <w:rPr>
                <w:sz w:val="22"/>
                <w:szCs w:val="22"/>
                <w:lang w:val="lv-LV"/>
              </w:rPr>
            </w:pPr>
            <w:r w:rsidRPr="00A44228">
              <w:rPr>
                <w:rFonts w:eastAsiaTheme="minorEastAsia"/>
                <w:sz w:val="22"/>
                <w:szCs w:val="22"/>
                <w:lang w:val="lv-LV"/>
              </w:rPr>
              <w:t>Nav attiecināms.</w:t>
            </w:r>
          </w:p>
        </w:tc>
      </w:tr>
      <w:tr w:rsidR="00765B4F" w14:paraId="02F447CE" w14:textId="77777777" w:rsidTr="00A44228">
        <w:trPr>
          <w:cantSplit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555C" w14:textId="77777777" w:rsidR="00B852F0" w:rsidRPr="00A44228" w:rsidRDefault="00C32B70">
            <w:pPr>
              <w:rPr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>5. Informācija par administratīvajām procedūrām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6131" w14:textId="77777777" w:rsidR="00B852F0" w:rsidRPr="00A44228" w:rsidRDefault="00C32B70">
            <w:pPr>
              <w:jc w:val="both"/>
              <w:rPr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>Informāciju par saistošo noteikumu piemērošanu var saņemt Aizkraukles novada sociālajā dienestā.</w:t>
            </w:r>
          </w:p>
          <w:p w14:paraId="6BA07E56" w14:textId="77777777" w:rsidR="00B852F0" w:rsidRPr="00A44228" w:rsidRDefault="00C32B70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t>Saistošo noteikumu projekts paredz administratīvās procedūras, pabalstu saņemšanai pilngadību sasniegušajiem bērniem bāreņiem un bez vecāku gādības palikušajiem bērniem veicama iesnieguma iesniegšana, kam seko lēmuma pieņemšana. Atbildīgās institūcijas pie</w:t>
            </w:r>
            <w:r w:rsidRPr="00A44228">
              <w:rPr>
                <w:sz w:val="22"/>
                <w:szCs w:val="22"/>
                <w:lang w:val="lv-LV"/>
              </w:rPr>
              <w:t xml:space="preserve">ņemtos lēmumus vai faktisko rīcību var apstrīdēt, iesniedzot attiecīgu iesniegumu Aizkraukles novada domē. </w:t>
            </w:r>
            <w:r w:rsidRPr="00A44228">
              <w:rPr>
                <w:bCs/>
                <w:sz w:val="22"/>
                <w:szCs w:val="22"/>
                <w:lang w:val="lv-LV"/>
              </w:rPr>
              <w:t>Aizkraukles novada domes lēmumu, s</w:t>
            </w:r>
            <w:r w:rsidRPr="00A44228">
              <w:rPr>
                <w:sz w:val="22"/>
                <w:szCs w:val="22"/>
                <w:lang w:val="lv-LV"/>
              </w:rPr>
              <w:t>askaņā ar Administratīvā procesa likuma 79.panta pirmo daļu un 189.panta pirmo daļu, var pārsūdzēt viena mēneša lai</w:t>
            </w:r>
            <w:r w:rsidRPr="00A44228">
              <w:rPr>
                <w:sz w:val="22"/>
                <w:szCs w:val="22"/>
                <w:lang w:val="lv-LV"/>
              </w:rPr>
              <w:t xml:space="preserve">kā no tā spēkā stāšanās dienas Administratīvās rajona tiesas attiecīgajā tiesu namā pēc pieteicēja adreses (fiziska persona – pēc deklarētās dzīves vietas). </w:t>
            </w:r>
            <w:r w:rsidRPr="00A44228">
              <w:rPr>
                <w:bCs/>
                <w:sz w:val="22"/>
                <w:szCs w:val="22"/>
                <w:lang w:val="lv-LV"/>
              </w:rPr>
              <w:t xml:space="preserve"> </w:t>
            </w:r>
          </w:p>
          <w:p w14:paraId="40B88C89" w14:textId="2ADFED54" w:rsidR="00A44228" w:rsidRPr="00A44228" w:rsidRDefault="00A44228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65B4F" w14:paraId="78E94189" w14:textId="77777777" w:rsidTr="00A44228">
        <w:trPr>
          <w:cantSplit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49C1" w14:textId="071BACBF" w:rsidR="00B852F0" w:rsidRPr="00A44228" w:rsidRDefault="00C32B70">
            <w:pPr>
              <w:rPr>
                <w:sz w:val="22"/>
                <w:szCs w:val="22"/>
                <w:lang w:val="lv-LV"/>
              </w:rPr>
            </w:pPr>
            <w:r w:rsidRPr="00A44228">
              <w:rPr>
                <w:sz w:val="22"/>
                <w:szCs w:val="22"/>
                <w:lang w:val="lv-LV"/>
              </w:rPr>
              <w:lastRenderedPageBreak/>
              <w:t>6. Informācija par konsultācijām ar privātpersonām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97E" w14:textId="77777777" w:rsidR="00B852F0" w:rsidRPr="00A44228" w:rsidRDefault="00C32B7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lv-LV"/>
              </w:rPr>
            </w:pPr>
            <w:r w:rsidRPr="00A44228">
              <w:rPr>
                <w:rFonts w:eastAsiaTheme="minorEastAsia"/>
                <w:sz w:val="22"/>
                <w:szCs w:val="22"/>
                <w:lang w:val="lv-LV"/>
              </w:rPr>
              <w:t>Nav notikušas.</w:t>
            </w:r>
          </w:p>
          <w:p w14:paraId="0D33023B" w14:textId="77777777" w:rsidR="00B852F0" w:rsidRPr="00A44228" w:rsidRDefault="00B852F0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27841623" w14:textId="77777777" w:rsidR="00B852F0" w:rsidRPr="00A44228" w:rsidRDefault="00B852F0" w:rsidP="00B852F0">
      <w:pPr>
        <w:rPr>
          <w:lang w:val="lv-LV"/>
        </w:rPr>
      </w:pPr>
    </w:p>
    <w:p w14:paraId="11520FD0" w14:textId="77777777" w:rsidR="00B852F0" w:rsidRPr="00A44228" w:rsidRDefault="00B852F0" w:rsidP="00B852F0">
      <w:pPr>
        <w:rPr>
          <w:lang w:val="lv-LV"/>
        </w:rPr>
      </w:pPr>
    </w:p>
    <w:p w14:paraId="143562E6" w14:textId="77777777" w:rsidR="00B852F0" w:rsidRPr="00A44228" w:rsidRDefault="00B852F0" w:rsidP="00B852F0">
      <w:pPr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765B4F" w14:paraId="0992A2B6" w14:textId="77777777" w:rsidTr="0069610A">
        <w:tc>
          <w:tcPr>
            <w:tcW w:w="3544" w:type="dxa"/>
            <w:hideMark/>
          </w:tcPr>
          <w:p w14:paraId="75B28883" w14:textId="77777777" w:rsidR="00A44228" w:rsidRPr="00A44228" w:rsidRDefault="00C32B70" w:rsidP="0069610A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A44228">
              <w:rPr>
                <w:sz w:val="24"/>
                <w:szCs w:val="24"/>
                <w:lang w:val="lv-LV"/>
              </w:rPr>
              <w:t>Sēdes vadītājs,</w:t>
            </w:r>
          </w:p>
          <w:p w14:paraId="5D2C0EF6" w14:textId="77777777" w:rsidR="00A44228" w:rsidRPr="00A44228" w:rsidRDefault="00C32B70" w:rsidP="0069610A">
            <w:pPr>
              <w:spacing w:line="360" w:lineRule="auto"/>
              <w:rPr>
                <w:sz w:val="24"/>
                <w:szCs w:val="24"/>
                <w:lang w:val="lv-LV"/>
              </w:rPr>
            </w:pPr>
            <w:r w:rsidRPr="00A44228">
              <w:rPr>
                <w:sz w:val="24"/>
                <w:szCs w:val="24"/>
                <w:lang w:val="lv-LV"/>
              </w:rPr>
              <w:t>domes priekšsēdētājs</w:t>
            </w:r>
            <w:r w:rsidRPr="00A44228">
              <w:rPr>
                <w:sz w:val="24"/>
                <w:szCs w:val="24"/>
                <w:lang w:val="lv-LV"/>
              </w:rPr>
              <w:tab/>
            </w:r>
          </w:p>
        </w:tc>
        <w:tc>
          <w:tcPr>
            <w:tcW w:w="2893" w:type="dxa"/>
            <w:hideMark/>
          </w:tcPr>
          <w:p w14:paraId="7E46D97E" w14:textId="77777777" w:rsidR="00A44228" w:rsidRPr="00A44228" w:rsidRDefault="00C32B70" w:rsidP="0069610A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v-LV"/>
              </w:rPr>
            </w:pPr>
            <w:r w:rsidRPr="00A44228">
              <w:rPr>
                <w:i/>
                <w:lang w:val="lv-LV"/>
              </w:rPr>
              <w:t>Šis dokuments ir elektroniski parakstīts ar drošu elektronisko parakstu un satur laika zīmogu</w:t>
            </w:r>
          </w:p>
        </w:tc>
        <w:tc>
          <w:tcPr>
            <w:tcW w:w="2894" w:type="dxa"/>
            <w:hideMark/>
          </w:tcPr>
          <w:p w14:paraId="7F12A6B6" w14:textId="77777777" w:rsidR="00A44228" w:rsidRPr="00A44228" w:rsidRDefault="00C32B70" w:rsidP="0069610A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A44228">
              <w:rPr>
                <w:sz w:val="24"/>
                <w:szCs w:val="24"/>
                <w:lang w:val="lv-LV"/>
              </w:rPr>
              <w:t>L.Līdums</w:t>
            </w:r>
          </w:p>
        </w:tc>
      </w:tr>
    </w:tbl>
    <w:p w14:paraId="2C344BCE" w14:textId="77777777" w:rsidR="00E51E52" w:rsidRPr="00A44228" w:rsidRDefault="00E51E52">
      <w:pPr>
        <w:rPr>
          <w:lang w:val="lv-LV"/>
        </w:rPr>
      </w:pPr>
    </w:p>
    <w:sectPr w:rsidR="00E51E52" w:rsidRPr="00A44228" w:rsidSect="00270B15">
      <w:footerReference w:type="default" r:id="rId7"/>
      <w:pgSz w:w="11906" w:h="16838"/>
      <w:pgMar w:top="737" w:right="73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448E" w14:textId="77777777" w:rsidR="00000000" w:rsidRDefault="00C32B70">
      <w:r>
        <w:separator/>
      </w:r>
    </w:p>
  </w:endnote>
  <w:endnote w:type="continuationSeparator" w:id="0">
    <w:p w14:paraId="3B635A11" w14:textId="77777777" w:rsidR="00000000" w:rsidRDefault="00C3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20016"/>
      <w:docPartObj>
        <w:docPartGallery w:val="Page Numbers (Bottom of Page)"/>
        <w:docPartUnique/>
      </w:docPartObj>
    </w:sdtPr>
    <w:sdtEndPr/>
    <w:sdtContent>
      <w:p w14:paraId="37424A27" w14:textId="3CFE0FEC" w:rsidR="00270B15" w:rsidRDefault="00C32B7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7F21F36" w14:textId="77777777" w:rsidR="00270B15" w:rsidRDefault="00270B1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0272" w14:textId="77777777" w:rsidR="00000000" w:rsidRDefault="00C32B70">
      <w:r>
        <w:separator/>
      </w:r>
    </w:p>
  </w:footnote>
  <w:footnote w:type="continuationSeparator" w:id="0">
    <w:p w14:paraId="042845BA" w14:textId="77777777" w:rsidR="00000000" w:rsidRDefault="00C3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8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714420"/>
    <w:multiLevelType w:val="multilevel"/>
    <w:tmpl w:val="78BE7F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0"/>
    <w:rsid w:val="00126111"/>
    <w:rsid w:val="001C6782"/>
    <w:rsid w:val="00217636"/>
    <w:rsid w:val="00270B15"/>
    <w:rsid w:val="00336736"/>
    <w:rsid w:val="003E23F1"/>
    <w:rsid w:val="00443242"/>
    <w:rsid w:val="00476FFE"/>
    <w:rsid w:val="004770A7"/>
    <w:rsid w:val="004A2941"/>
    <w:rsid w:val="0051648E"/>
    <w:rsid w:val="00566F72"/>
    <w:rsid w:val="005E4D88"/>
    <w:rsid w:val="00610A59"/>
    <w:rsid w:val="006619E4"/>
    <w:rsid w:val="00687A13"/>
    <w:rsid w:val="0069610A"/>
    <w:rsid w:val="00765B4F"/>
    <w:rsid w:val="00A44228"/>
    <w:rsid w:val="00B37D92"/>
    <w:rsid w:val="00B852F0"/>
    <w:rsid w:val="00C02E83"/>
    <w:rsid w:val="00C32B70"/>
    <w:rsid w:val="00CD6F90"/>
    <w:rsid w:val="00CF372E"/>
    <w:rsid w:val="00D8056A"/>
    <w:rsid w:val="00E51E52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8563B"/>
  <w15:docId w15:val="{675FB7DD-9A17-4FEC-91C3-88B735FD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85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B852F0"/>
    <w:rPr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B852F0"/>
    <w:pPr>
      <w:jc w:val="both"/>
    </w:pPr>
    <w:rPr>
      <w:sz w:val="24"/>
      <w:szCs w:val="24"/>
      <w:lang w:val="lv-LV" w:eastAsia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B852F0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852F0"/>
    <w:pPr>
      <w:ind w:left="720"/>
    </w:pPr>
  </w:style>
  <w:style w:type="paragraph" w:customStyle="1" w:styleId="naisnod">
    <w:name w:val="naisnod"/>
    <w:basedOn w:val="Parasts"/>
    <w:uiPriority w:val="99"/>
    <w:rsid w:val="00B852F0"/>
    <w:pPr>
      <w:spacing w:before="150" w:after="150"/>
      <w:jc w:val="center"/>
    </w:pPr>
    <w:rPr>
      <w:rFonts w:eastAsia="Calibri"/>
      <w:b/>
      <w:bCs/>
      <w:sz w:val="24"/>
      <w:szCs w:val="24"/>
      <w:lang w:val="lv-LV"/>
    </w:rPr>
  </w:style>
  <w:style w:type="paragraph" w:customStyle="1" w:styleId="naiskr">
    <w:name w:val="naiskr"/>
    <w:basedOn w:val="Parasts"/>
    <w:uiPriority w:val="99"/>
    <w:rsid w:val="00B852F0"/>
    <w:pPr>
      <w:spacing w:before="75" w:after="75"/>
    </w:pPr>
    <w:rPr>
      <w:rFonts w:eastAsia="Calibri"/>
      <w:sz w:val="24"/>
      <w:szCs w:val="24"/>
      <w:lang w:val="lv-LV"/>
    </w:rPr>
  </w:style>
  <w:style w:type="paragraph" w:customStyle="1" w:styleId="tv2131">
    <w:name w:val="tv2131"/>
    <w:basedOn w:val="Parasts"/>
    <w:uiPriority w:val="99"/>
    <w:rsid w:val="00B852F0"/>
    <w:pPr>
      <w:spacing w:before="240" w:line="360" w:lineRule="auto"/>
      <w:ind w:firstLine="250"/>
      <w:jc w:val="both"/>
    </w:pPr>
    <w:rPr>
      <w:rFonts w:ascii="Verdana" w:eastAsia="Calibri" w:hAnsi="Verdana" w:cs="Verdana"/>
      <w:sz w:val="15"/>
      <w:szCs w:val="15"/>
      <w:lang w:eastAsia="en-US"/>
    </w:rPr>
  </w:style>
  <w:style w:type="paragraph" w:customStyle="1" w:styleId="tv213">
    <w:name w:val="tv213"/>
    <w:basedOn w:val="Parasts"/>
    <w:rsid w:val="00B852F0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29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2941"/>
    <w:rPr>
      <w:rFonts w:ascii="Tahoma" w:eastAsia="Times New Roman" w:hAnsi="Tahoma" w:cs="Tahoma"/>
      <w:sz w:val="16"/>
      <w:szCs w:val="16"/>
      <w:lang w:val="en-US" w:eastAsia="lv-LV"/>
    </w:rPr>
  </w:style>
  <w:style w:type="table" w:styleId="Reatabula">
    <w:name w:val="Table Grid"/>
    <w:basedOn w:val="Parastatabula"/>
    <w:uiPriority w:val="39"/>
    <w:rsid w:val="00A4422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70B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0B15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unhideWhenUsed/>
    <w:rsid w:val="00270B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0B15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Tālmane</dc:creator>
  <cp:lastModifiedBy>Ingrīda Krēsliņa</cp:lastModifiedBy>
  <cp:revision>2</cp:revision>
  <cp:lastPrinted>2021-09-29T09:21:00Z</cp:lastPrinted>
  <dcterms:created xsi:type="dcterms:W3CDTF">2021-12-10T12:06:00Z</dcterms:created>
  <dcterms:modified xsi:type="dcterms:W3CDTF">2021-12-10T12:06:00Z</dcterms:modified>
</cp:coreProperties>
</file>