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1BD7" w14:textId="77777777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98238348"/>
      <w:bookmarkStart w:id="1" w:name="_Hlk98764336"/>
      <w:r w:rsidRPr="00036F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APSTIPRINĀTS</w:t>
      </w:r>
    </w:p>
    <w:p w14:paraId="6FB1FB18" w14:textId="77777777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F37">
        <w:rPr>
          <w:rFonts w:ascii="Times New Roman" w:eastAsia="Times New Roman" w:hAnsi="Times New Roman" w:cs="Times New Roman"/>
          <w:sz w:val="24"/>
          <w:szCs w:val="24"/>
          <w:lang w:eastAsia="ar-SA"/>
        </w:rPr>
        <w:t>SIA “Pļaviņu Komunālie pakalpojumi”</w:t>
      </w:r>
    </w:p>
    <w:p w14:paraId="19FAA874" w14:textId="77777777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36F37">
        <w:rPr>
          <w:rFonts w:ascii="Times New Roman" w:eastAsia="Times New Roman" w:hAnsi="Times New Roman" w:cs="Times New Roman"/>
          <w:sz w:val="24"/>
          <w:szCs w:val="24"/>
          <w:lang w:eastAsia="ar-SA"/>
        </w:rPr>
        <w:t>iepirkuma komisijas sēdē</w:t>
      </w:r>
    </w:p>
    <w:p w14:paraId="401D30CC" w14:textId="12080AFA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F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2022. gada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036F37">
        <w:rPr>
          <w:rFonts w:ascii="Times New Roman" w:eastAsia="Times New Roman" w:hAnsi="Times New Roman" w:cs="Times New Roman"/>
          <w:sz w:val="24"/>
          <w:szCs w:val="24"/>
          <w:lang w:eastAsia="ar-SA"/>
        </w:rPr>
        <w:t>.martā</w:t>
      </w:r>
    </w:p>
    <w:p w14:paraId="3AE5E6F7" w14:textId="77777777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0DA57F1" w14:textId="77777777" w:rsidR="00036F37" w:rsidRPr="00036F37" w:rsidRDefault="00036F37" w:rsidP="00036F37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6C7397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229B6D28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</w:p>
    <w:p w14:paraId="3FB75067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</w:p>
    <w:p w14:paraId="76945415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  <w:r w:rsidRPr="00036F37"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  <w:t>Cenu aptaujas</w:t>
      </w:r>
    </w:p>
    <w:p w14:paraId="336AB393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</w:p>
    <w:p w14:paraId="1F77D151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52A5CBC5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</w:pPr>
    </w:p>
    <w:p w14:paraId="3D871903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</w:pPr>
    </w:p>
    <w:p w14:paraId="02D756C5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</w:pPr>
    </w:p>
    <w:p w14:paraId="1A286C68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i/>
          <w:sz w:val="28"/>
          <w:szCs w:val="28"/>
          <w:lang w:eastAsia="ar-SA"/>
        </w:rPr>
      </w:pPr>
      <w:r w:rsidRPr="00036F37">
        <w:rPr>
          <w:rFonts w:ascii="Times New Roman" w:eastAsia="Times New Roman" w:hAnsi="Times New Roman" w:cs="Calibri"/>
          <w:bCs/>
          <w:i/>
          <w:sz w:val="28"/>
          <w:szCs w:val="28"/>
          <w:lang w:eastAsia="ar-SA"/>
        </w:rPr>
        <w:t>IEPIRKUMAM</w:t>
      </w:r>
    </w:p>
    <w:p w14:paraId="1BD38509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i/>
          <w:sz w:val="28"/>
          <w:szCs w:val="28"/>
          <w:lang w:eastAsia="ar-SA"/>
        </w:rPr>
      </w:pPr>
    </w:p>
    <w:p w14:paraId="1CA37E0B" w14:textId="2DC09156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</w:pPr>
      <w:r w:rsidRPr="00036F37">
        <w:rPr>
          <w:rFonts w:ascii="Times New Roman" w:eastAsia="Times New Roman" w:hAnsi="Times New Roman" w:cs="Calibri"/>
          <w:b/>
          <w:i/>
          <w:sz w:val="36"/>
          <w:szCs w:val="36"/>
          <w:lang w:eastAsia="ar-SA"/>
        </w:rPr>
        <w:t>„</w:t>
      </w:r>
      <w:r w:rsidRPr="00036F37">
        <w:t xml:space="preserve"> </w:t>
      </w:r>
      <w:r w:rsidRPr="00036F37">
        <w:rPr>
          <w:rFonts w:ascii="Times New Roman" w:eastAsia="Times New Roman" w:hAnsi="Times New Roman" w:cs="Calibri"/>
          <w:b/>
          <w:i/>
          <w:sz w:val="36"/>
          <w:szCs w:val="36"/>
          <w:lang w:eastAsia="ar-SA"/>
        </w:rPr>
        <w:t>Finanšu līzinga pakalpojumi jauna riteņtraktora iegādei”</w:t>
      </w:r>
    </w:p>
    <w:p w14:paraId="47272252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</w:p>
    <w:p w14:paraId="435C71B7" w14:textId="2615505C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INSTRUKCIJA</w:t>
      </w:r>
    </w:p>
    <w:p w14:paraId="4C834FB9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</w:pPr>
    </w:p>
    <w:p w14:paraId="649648AB" w14:textId="187645E8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  <w:r w:rsidRPr="00036F37"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  <w:t>Identifikācijas Nr. PKP 2022/</w:t>
      </w:r>
      <w:r>
        <w:rPr>
          <w:rFonts w:ascii="Times New Roman" w:eastAsia="Times New Roman" w:hAnsi="Times New Roman" w:cs="Calibri"/>
          <w:b/>
          <w:bCs/>
          <w:i/>
          <w:sz w:val="28"/>
          <w:szCs w:val="28"/>
          <w:lang w:eastAsia="ar-SA"/>
        </w:rPr>
        <w:t>2</w:t>
      </w:r>
    </w:p>
    <w:p w14:paraId="746EA780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sz w:val="32"/>
          <w:szCs w:val="32"/>
          <w:lang w:eastAsia="ar-SA"/>
        </w:rPr>
      </w:pPr>
    </w:p>
    <w:p w14:paraId="541CE278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7328F0EE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04AFC46A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660EC3FD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5F81A490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0B93187C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251EFD4D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30E84BEA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5AB51AC9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70D1757F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2E95793B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37589C15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5D68AEB0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140286B5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3FF68F64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70E7CDA9" w14:textId="77777777" w:rsidR="00036F37" w:rsidRPr="00036F37" w:rsidRDefault="00036F37" w:rsidP="00036F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ar-SA"/>
        </w:rPr>
      </w:pPr>
    </w:p>
    <w:p w14:paraId="07C9C08A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61EC1039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38374D59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3C9F25BA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4077149B" w14:textId="77777777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1C7B7E66" w14:textId="77777777" w:rsid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28E5F39A" w14:textId="77777777" w:rsid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79590033" w14:textId="77777777" w:rsid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7B49697A" w14:textId="77777777" w:rsid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</w:p>
    <w:p w14:paraId="335E5574" w14:textId="6669936B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  <w:r w:rsidRPr="00036F37">
        <w:rPr>
          <w:rFonts w:ascii="Times New Roman" w:eastAsia="Times New Roman" w:hAnsi="Times New Roman" w:cs="Calibri"/>
          <w:bCs/>
          <w:lang w:eastAsia="ar-SA"/>
        </w:rPr>
        <w:t>Pļaviņas</w:t>
      </w:r>
    </w:p>
    <w:p w14:paraId="25B53FC2" w14:textId="4A6065F4" w:rsidR="00036F37" w:rsidRPr="00036F37" w:rsidRDefault="00036F37" w:rsidP="00036F3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lang w:eastAsia="ar-SA"/>
        </w:rPr>
      </w:pPr>
      <w:r w:rsidRPr="00036F37">
        <w:rPr>
          <w:rFonts w:ascii="Times New Roman" w:eastAsia="Times New Roman" w:hAnsi="Times New Roman" w:cs="Calibri"/>
          <w:bCs/>
          <w:lang w:eastAsia="ar-SA"/>
        </w:rPr>
        <w:t>2022</w:t>
      </w:r>
    </w:p>
    <w:bookmarkEnd w:id="0"/>
    <w:bookmarkEnd w:id="1"/>
    <w:p w14:paraId="37C3E8F3" w14:textId="3F6B4AA2" w:rsidR="009C5F40" w:rsidRPr="00E2064D" w:rsidRDefault="00294C04" w:rsidP="00294C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Vispārīgā informācija.</w:t>
      </w:r>
    </w:p>
    <w:tbl>
      <w:tblPr>
        <w:tblW w:w="918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19"/>
        <w:gridCol w:w="6061"/>
      </w:tblGrid>
      <w:tr w:rsidR="009C5F40" w:rsidRPr="00E2064D" w14:paraId="2427F7C4" w14:textId="77777777" w:rsidTr="00964ED5">
        <w:trPr>
          <w:trHeight w:val="3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85D2" w14:textId="77777777" w:rsidR="009C5F40" w:rsidRPr="00E2064D" w:rsidRDefault="009C5F40" w:rsidP="0096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Pasūtītāja nosaukums un reģistrācijas Nr.: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B76F" w14:textId="5C1BF794" w:rsidR="009C5F40" w:rsidRPr="00E2064D" w:rsidRDefault="00E74073" w:rsidP="009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 ar ierobežotu atbildību “Pļaviņu Komunālie pakalpojumi”, reģ.Nr.48703000457</w:t>
            </w:r>
          </w:p>
        </w:tc>
      </w:tr>
      <w:tr w:rsidR="009C5F40" w:rsidRPr="00E2064D" w14:paraId="0E0E610C" w14:textId="77777777" w:rsidTr="00964ED5">
        <w:trPr>
          <w:trHeight w:val="3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D6E6" w14:textId="77777777" w:rsidR="009C5F40" w:rsidRPr="00E2064D" w:rsidRDefault="009C5F40" w:rsidP="0096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Juridiskā adrese: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DF9" w14:textId="6FB825C6" w:rsidR="009C5F40" w:rsidRPr="00E2064D" w:rsidRDefault="00E74073" w:rsidP="009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Daugavas iela 43, Pļaviņas, Aizkraukles novads, LV-5120</w:t>
            </w:r>
          </w:p>
        </w:tc>
      </w:tr>
      <w:tr w:rsidR="009C5F40" w:rsidRPr="00E2064D" w14:paraId="66044C95" w14:textId="77777777" w:rsidTr="00964ED5">
        <w:trPr>
          <w:trHeight w:val="5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8F0" w14:textId="77777777" w:rsidR="009C5F40" w:rsidRPr="00E2064D" w:rsidRDefault="009C5F40" w:rsidP="0096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 tehniskajos jautājumos: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624" w14:textId="37D1F5A9" w:rsidR="009C5F40" w:rsidRPr="00E2064D" w:rsidRDefault="00E74073" w:rsidP="009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Valdes locekle Santa Zālīte, t.20245505</w:t>
            </w:r>
          </w:p>
        </w:tc>
      </w:tr>
      <w:tr w:rsidR="009C5F40" w:rsidRPr="00E2064D" w14:paraId="3E1F1072" w14:textId="77777777" w:rsidTr="00964ED5">
        <w:trPr>
          <w:trHeight w:val="3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D13C" w14:textId="77777777" w:rsidR="009C5F40" w:rsidRPr="00E2064D" w:rsidRDefault="009C5F40" w:rsidP="0096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4D">
              <w:rPr>
                <w:rFonts w:ascii="Times New Roman" w:hAnsi="Times New Roman" w:cs="Times New Roman"/>
                <w:b/>
                <w:sz w:val="24"/>
                <w:szCs w:val="24"/>
              </w:rPr>
              <w:t>Maksātājs: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985" w14:textId="7F810571" w:rsidR="009C5F40" w:rsidRPr="00E2064D" w:rsidRDefault="00E74073" w:rsidP="00964E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 ar ierobežotu atbildību “Pļaviņu Komunālie pakalpojumi”</w:t>
            </w:r>
          </w:p>
        </w:tc>
      </w:tr>
      <w:tr w:rsidR="009C5F40" w:rsidRPr="00E2064D" w14:paraId="1F6EACE3" w14:textId="77777777" w:rsidTr="00964ED5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C4A" w14:textId="77777777" w:rsidR="009C5F40" w:rsidRPr="00E2064D" w:rsidRDefault="009C5F40" w:rsidP="0096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64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ar-SA"/>
              </w:rPr>
              <w:t>Kontaktpersona</w:t>
            </w: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ar-SA"/>
              </w:rPr>
              <w:t xml:space="preserve"> par piedāvājuma iesniegšanu: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BC9" w14:textId="40EAA365" w:rsidR="009C5F40" w:rsidRPr="00E2064D" w:rsidRDefault="00E74073" w:rsidP="009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Jurists Liene Kārkla, t.27857629</w:t>
            </w:r>
          </w:p>
        </w:tc>
      </w:tr>
    </w:tbl>
    <w:p w14:paraId="4A1D9F8A" w14:textId="77777777" w:rsidR="0030633E" w:rsidRDefault="0030633E" w:rsidP="009C5F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9ACBF" w14:textId="048B26DF" w:rsidR="008063E9" w:rsidRPr="00CF47B8" w:rsidRDefault="00336120" w:rsidP="00CF47B8">
      <w:pPr>
        <w:jc w:val="both"/>
        <w:rPr>
          <w:rFonts w:ascii="Times New Roman" w:hAnsi="Times New Roman" w:cs="Times New Roman"/>
          <w:sz w:val="24"/>
          <w:szCs w:val="24"/>
        </w:rPr>
      </w:pPr>
      <w:r w:rsidRPr="00CF47B8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="00E61187" w:rsidRPr="00CF47B8">
        <w:rPr>
          <w:rFonts w:ascii="Times New Roman" w:hAnsi="Times New Roman" w:cs="Times New Roman"/>
          <w:b/>
          <w:bCs/>
          <w:sz w:val="24"/>
          <w:szCs w:val="24"/>
        </w:rPr>
        <w:t xml:space="preserve">uzdevums - </w:t>
      </w:r>
      <w:r w:rsidR="008063E9" w:rsidRPr="00CF47B8">
        <w:rPr>
          <w:rFonts w:ascii="Times New Roman" w:hAnsi="Times New Roman" w:cs="Times New Roman"/>
          <w:sz w:val="24"/>
          <w:szCs w:val="24"/>
        </w:rPr>
        <w:t>finanšu līzinga pakalpojumi jauna riteņtraktora iegādei, CPV kods: 66114000-2</w:t>
      </w:r>
      <w:r w:rsidR="00E74073" w:rsidRPr="00CF47B8">
        <w:rPr>
          <w:rFonts w:ascii="Times New Roman" w:hAnsi="Times New Roman" w:cs="Times New Roman"/>
          <w:sz w:val="24"/>
          <w:szCs w:val="24"/>
        </w:rPr>
        <w:t>.</w:t>
      </w:r>
    </w:p>
    <w:p w14:paraId="28AF1BDA" w14:textId="2FBC2390" w:rsidR="00F72AD4" w:rsidRPr="00CF47B8" w:rsidRDefault="00F72AD4" w:rsidP="00806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7B8">
        <w:rPr>
          <w:rFonts w:ascii="Times New Roman" w:hAnsi="Times New Roman" w:cs="Times New Roman"/>
          <w:b/>
          <w:bCs/>
          <w:sz w:val="24"/>
          <w:szCs w:val="24"/>
        </w:rPr>
        <w:t>Prasības attiecībā uz Pretendenta tehniskajām un profesionālajām spējām</w:t>
      </w:r>
      <w:r w:rsidR="00294C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5DB0DA" w14:textId="44567269" w:rsidR="00107ECC" w:rsidRPr="00107ECC" w:rsidRDefault="009C5F40" w:rsidP="00107EC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>Pretendents var būt fiziska vai juridiskā persona vai šādu personu apvienība jebkurā to kombinācijā.</w:t>
      </w:r>
    </w:p>
    <w:p w14:paraId="6E72E0E9" w14:textId="03BE01F4" w:rsidR="00F26B42" w:rsidRPr="00107ECC" w:rsidRDefault="00F26B42" w:rsidP="00107EC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>Pretendentam ir jāatbilst šādām atlases prasībām:</w:t>
      </w:r>
    </w:p>
    <w:p w14:paraId="29B2799C" w14:textId="173BEE93" w:rsidR="00107ECC" w:rsidRDefault="00107ECC" w:rsidP="00F26B42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Pretendents normatīvajos aktos noteiktajā kārtībā ir reģistrēts Latvijas</w:t>
      </w:r>
      <w:r w:rsidRPr="00107ECC"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Republikas Uzņēmumu reģistra Komercreģistrā vai līdzvērtīgā reģistrā ārvalstīs;</w:t>
      </w:r>
    </w:p>
    <w:p w14:paraId="71D588C8" w14:textId="77777777" w:rsidR="00107ECC" w:rsidRDefault="00107ECC" w:rsidP="002F46B8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Pretendentam ir tiesības sniegt iepirkuma priekšmetā noteiktos pakalpojumus.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60769" w:rsidRPr="00107ECC">
        <w:rPr>
          <w:rFonts w:ascii="Times New Roman" w:hAnsi="Times New Roman" w:cs="Times New Roman"/>
          <w:sz w:val="24"/>
          <w:szCs w:val="24"/>
        </w:rPr>
        <w:t>retendentam ir kompetentas institūcijas izsniegta licence, sertifikāts vai cits līdzvērtīgs dokuments, ja attiecīgās valsts normatīvie tiesību akti paredz profesionālo reģistrāciju, licences, sertifikāta vai citus līdzvērtīgu dokumentu izsniegšanu.</w:t>
      </w:r>
    </w:p>
    <w:p w14:paraId="70D73D34" w14:textId="0F2E43A4" w:rsidR="002F46B8" w:rsidRPr="00107ECC" w:rsidRDefault="00107ECC" w:rsidP="002F46B8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6B8" w:rsidRPr="00107ECC">
        <w:rPr>
          <w:rFonts w:ascii="Times New Roman" w:hAnsi="Times New Roman" w:cs="Times New Roman"/>
          <w:sz w:val="24"/>
          <w:szCs w:val="24"/>
        </w:rPr>
        <w:t xml:space="preserve">Pretendentam Latvijā vai valstī, kurā tas reģistrēts vai kurā atrodas tā </w:t>
      </w:r>
      <w:r w:rsidR="00294C04">
        <w:rPr>
          <w:rFonts w:ascii="Times New Roman" w:hAnsi="Times New Roman" w:cs="Times New Roman"/>
          <w:sz w:val="24"/>
          <w:szCs w:val="24"/>
        </w:rPr>
        <w:t>faktiskā atrašanās vieta</w:t>
      </w:r>
      <w:r w:rsidR="002F46B8" w:rsidRPr="00107ECC">
        <w:rPr>
          <w:rFonts w:ascii="Times New Roman" w:hAnsi="Times New Roman" w:cs="Times New Roman"/>
          <w:sz w:val="24"/>
          <w:szCs w:val="24"/>
        </w:rPr>
        <w:t>, nav nodokļu parādi, tai skaitā valsts sociālās apdrošināšanas obligāto iemaksu parādi, kas kopsummā kādā no valstīm pārsniedz 150 euro</w:t>
      </w:r>
      <w:r w:rsidR="00294C04">
        <w:rPr>
          <w:rFonts w:ascii="Times New Roman" w:hAnsi="Times New Roman" w:cs="Times New Roman"/>
          <w:sz w:val="24"/>
          <w:szCs w:val="24"/>
        </w:rPr>
        <w:t>.</w:t>
      </w:r>
    </w:p>
    <w:p w14:paraId="1267A493" w14:textId="0E26F57C" w:rsidR="002F46B8" w:rsidRPr="00C963D2" w:rsidRDefault="00C963D2" w:rsidP="009C5F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3D2">
        <w:rPr>
          <w:rFonts w:ascii="Times New Roman" w:hAnsi="Times New Roman" w:cs="Times New Roman"/>
          <w:b/>
          <w:bCs/>
          <w:sz w:val="24"/>
          <w:szCs w:val="24"/>
        </w:rPr>
        <w:t>Piedāvājuma iesniegšana un līguma slēgšana</w:t>
      </w:r>
      <w:r w:rsidR="00294C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49481" w14:textId="0E75A17C" w:rsidR="00107ECC" w:rsidRDefault="00F26B42" w:rsidP="00F26B42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>Piedāvājums ir jānoformē un jāiesniedz atbilstoši iepirkuma specifikācijai (pielikums</w:t>
      </w:r>
      <w:r w:rsidR="00107ECC">
        <w:rPr>
          <w:rFonts w:ascii="Times New Roman" w:hAnsi="Times New Roman" w:cs="Times New Roman"/>
          <w:sz w:val="24"/>
          <w:szCs w:val="24"/>
        </w:rPr>
        <w:t xml:space="preserve"> </w:t>
      </w:r>
      <w:r w:rsidRPr="00107ECC">
        <w:rPr>
          <w:rFonts w:ascii="Times New Roman" w:hAnsi="Times New Roman" w:cs="Times New Roman"/>
          <w:sz w:val="24"/>
          <w:szCs w:val="24"/>
        </w:rPr>
        <w:t>Nr.1) un pievienotajai piedāvājuma formai (pielikums Nr.2).</w:t>
      </w:r>
    </w:p>
    <w:p w14:paraId="51C0DCE6" w14:textId="16F61C5D" w:rsidR="004D26DD" w:rsidRDefault="004D26DD" w:rsidP="00F26B42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6DD">
        <w:rPr>
          <w:rFonts w:ascii="Times New Roman" w:hAnsi="Times New Roman" w:cs="Times New Roman"/>
          <w:sz w:val="24"/>
          <w:szCs w:val="24"/>
        </w:rPr>
        <w:t xml:space="preserve">Cenu aptaujas </w:t>
      </w:r>
      <w:r>
        <w:rPr>
          <w:rFonts w:ascii="Times New Roman" w:hAnsi="Times New Roman" w:cs="Times New Roman"/>
          <w:sz w:val="24"/>
          <w:szCs w:val="24"/>
        </w:rPr>
        <w:t>Instrukciju</w:t>
      </w:r>
      <w:r w:rsidRPr="004D26DD">
        <w:rPr>
          <w:rFonts w:ascii="Times New Roman" w:hAnsi="Times New Roman" w:cs="Times New Roman"/>
          <w:sz w:val="24"/>
          <w:szCs w:val="24"/>
        </w:rPr>
        <w:t xml:space="preserve"> un tā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26DD">
        <w:rPr>
          <w:rFonts w:ascii="Times New Roman" w:hAnsi="Times New Roman" w:cs="Times New Roman"/>
          <w:sz w:val="24"/>
          <w:szCs w:val="24"/>
        </w:rPr>
        <w:t xml:space="preserve"> pielikumus ieinteresētie pretendenti var apskatīt un lejupielādēt elektroniskā formā interneta vietnē </w:t>
      </w:r>
      <w:hyperlink r:id="rId7" w:history="1">
        <w:r w:rsidRPr="00052769">
          <w:rPr>
            <w:rStyle w:val="Hipersaite"/>
            <w:rFonts w:ascii="Times New Roman" w:hAnsi="Times New Roman" w:cs="Times New Roman"/>
            <w:sz w:val="24"/>
            <w:szCs w:val="24"/>
          </w:rPr>
          <w:t>https://www.aizkraukle.lv/lv/cenu-aptaujas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804A1E" w14:textId="2ED8662D" w:rsidR="00F26B42" w:rsidRPr="00107ECC" w:rsidRDefault="00F26B42" w:rsidP="00F26B42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>Pretendenta piedāvājumam jāpievieno šādi dokumenti:</w:t>
      </w:r>
    </w:p>
    <w:p w14:paraId="29617A3C" w14:textId="7AAAD6D3" w:rsidR="00107ECC" w:rsidRDefault="004D26DD" w:rsidP="00F26B42">
      <w:pPr>
        <w:pStyle w:val="Sarakstarindko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Pilnvara, ja piedāvājumu paraksta pretendenta pilnvarotā persona</w:t>
      </w:r>
      <w:r w:rsidR="00107ECC"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(iesniedzams pilnvaras oriģināls vai kopija)</w:t>
      </w:r>
      <w:r w:rsidR="00107ECC">
        <w:rPr>
          <w:rFonts w:ascii="Times New Roman" w:hAnsi="Times New Roman" w:cs="Times New Roman"/>
          <w:sz w:val="24"/>
          <w:szCs w:val="24"/>
        </w:rPr>
        <w:t>.</w:t>
      </w:r>
    </w:p>
    <w:p w14:paraId="548095C8" w14:textId="77777777" w:rsidR="00107ECC" w:rsidRDefault="00107ECC" w:rsidP="00F26B42">
      <w:pPr>
        <w:pStyle w:val="Sarakstarindko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Licences kopija, kas apliecina Pretendenta tiesības veikt iepirkuma priekšmetā</w:t>
      </w:r>
      <w:r w:rsidRPr="00107ECC"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noteikto finanšu pakalpojumu sniegšanu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563EC" w14:textId="77777777" w:rsidR="00107ECC" w:rsidRDefault="00107ECC" w:rsidP="00107ECC">
      <w:pPr>
        <w:pStyle w:val="Sarakstarindko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ECC"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Līguma projekts (pasūtītājam, slēdzot līgumu ar cenu aptaujas uzvarētāju,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42" w:rsidRPr="00107ECC">
        <w:rPr>
          <w:rFonts w:ascii="Times New Roman" w:hAnsi="Times New Roman" w:cs="Times New Roman"/>
          <w:sz w:val="24"/>
          <w:szCs w:val="24"/>
        </w:rPr>
        <w:t>tiesības veikt būtiskas korekcijas līguma redakcijā).</w:t>
      </w:r>
    </w:p>
    <w:p w14:paraId="005CCB42" w14:textId="5CC6DB8E" w:rsidR="007B5498" w:rsidRDefault="00F26B42" w:rsidP="004D26D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498">
        <w:rPr>
          <w:rFonts w:ascii="Times New Roman" w:hAnsi="Times New Roman" w:cs="Times New Roman"/>
          <w:sz w:val="24"/>
          <w:szCs w:val="24"/>
        </w:rPr>
        <w:t>Piedāvājuma cenā jāiekļauj visas izmaksas, kas saistītas ar iepirkuma priekšmetu,</w:t>
      </w:r>
      <w:r w:rsidR="007B5498" w:rsidRPr="007B5498">
        <w:rPr>
          <w:rFonts w:ascii="Times New Roman" w:hAnsi="Times New Roman" w:cs="Times New Roman"/>
          <w:sz w:val="24"/>
          <w:szCs w:val="24"/>
        </w:rPr>
        <w:t xml:space="preserve"> </w:t>
      </w:r>
      <w:r w:rsidRPr="007B5498">
        <w:rPr>
          <w:rFonts w:ascii="Times New Roman" w:hAnsi="Times New Roman" w:cs="Times New Roman"/>
          <w:sz w:val="24"/>
          <w:szCs w:val="24"/>
        </w:rPr>
        <w:t>piedāvājuma sagatavošanu un iesniegšanu, visi normatīvos aktos paredzētie nodokļi un</w:t>
      </w:r>
      <w:r w:rsidR="007B5498">
        <w:rPr>
          <w:rFonts w:ascii="Times New Roman" w:hAnsi="Times New Roman" w:cs="Times New Roman"/>
          <w:sz w:val="24"/>
          <w:szCs w:val="24"/>
        </w:rPr>
        <w:t xml:space="preserve"> </w:t>
      </w:r>
      <w:r w:rsidRPr="007B5498">
        <w:rPr>
          <w:rFonts w:ascii="Times New Roman" w:hAnsi="Times New Roman" w:cs="Times New Roman"/>
          <w:sz w:val="24"/>
          <w:szCs w:val="24"/>
        </w:rPr>
        <w:t>jebkuras citas izmaksas.</w:t>
      </w:r>
    </w:p>
    <w:p w14:paraId="7E028A66" w14:textId="77777777" w:rsidR="007B5498" w:rsidRDefault="00F26B42" w:rsidP="004D26D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498">
        <w:rPr>
          <w:rFonts w:ascii="Times New Roman" w:hAnsi="Times New Roman" w:cs="Times New Roman"/>
          <w:sz w:val="24"/>
          <w:szCs w:val="24"/>
        </w:rPr>
        <w:t>Pretendentam nav tiesību pēc lēmuma par cenu aptaujas uzvarētāju pieņemšanas</w:t>
      </w:r>
      <w:r w:rsidR="007B5498">
        <w:rPr>
          <w:rFonts w:ascii="Times New Roman" w:hAnsi="Times New Roman" w:cs="Times New Roman"/>
          <w:sz w:val="24"/>
          <w:szCs w:val="24"/>
        </w:rPr>
        <w:t xml:space="preserve"> </w:t>
      </w:r>
      <w:r w:rsidRPr="007B5498">
        <w:rPr>
          <w:rFonts w:ascii="Times New Roman" w:hAnsi="Times New Roman" w:cs="Times New Roman"/>
          <w:sz w:val="24"/>
          <w:szCs w:val="24"/>
        </w:rPr>
        <w:t>norādīt papildus izmaksas.</w:t>
      </w:r>
    </w:p>
    <w:p w14:paraId="2842FDDA" w14:textId="650AB418" w:rsidR="007B5498" w:rsidRDefault="007B5498" w:rsidP="004D26D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498">
        <w:rPr>
          <w:rFonts w:ascii="Times New Roman" w:hAnsi="Times New Roman" w:cs="Times New Roman"/>
          <w:sz w:val="24"/>
          <w:szCs w:val="24"/>
        </w:rPr>
        <w:lastRenderedPageBreak/>
        <w:t xml:space="preserve">Pēc lēmuma pieņemšanas </w:t>
      </w:r>
      <w:r w:rsidR="00910A27">
        <w:rPr>
          <w:rFonts w:ascii="Times New Roman" w:hAnsi="Times New Roman" w:cs="Times New Roman"/>
          <w:sz w:val="24"/>
          <w:szCs w:val="24"/>
        </w:rPr>
        <w:t>trīs</w:t>
      </w:r>
      <w:r w:rsidRPr="007B5498">
        <w:rPr>
          <w:rFonts w:ascii="Times New Roman" w:hAnsi="Times New Roman" w:cs="Times New Roman"/>
          <w:sz w:val="24"/>
          <w:szCs w:val="24"/>
        </w:rPr>
        <w:t xml:space="preserve"> (</w:t>
      </w:r>
      <w:r w:rsidR="00910A27">
        <w:rPr>
          <w:rFonts w:ascii="Times New Roman" w:hAnsi="Times New Roman" w:cs="Times New Roman"/>
          <w:sz w:val="24"/>
          <w:szCs w:val="24"/>
        </w:rPr>
        <w:t>trīs</w:t>
      </w:r>
      <w:r w:rsidRPr="007B5498">
        <w:rPr>
          <w:rFonts w:ascii="Times New Roman" w:hAnsi="Times New Roman" w:cs="Times New Roman"/>
          <w:sz w:val="24"/>
          <w:szCs w:val="24"/>
        </w:rPr>
        <w:t xml:space="preserve">) darba dienu laikā </w:t>
      </w:r>
      <w:r>
        <w:rPr>
          <w:rFonts w:ascii="Times New Roman" w:hAnsi="Times New Roman" w:cs="Times New Roman"/>
          <w:sz w:val="24"/>
          <w:szCs w:val="24"/>
        </w:rPr>
        <w:t>pasūtītājs</w:t>
      </w:r>
      <w:r w:rsidRPr="007B5498">
        <w:rPr>
          <w:rFonts w:ascii="Times New Roman" w:hAnsi="Times New Roman" w:cs="Times New Roman"/>
          <w:sz w:val="24"/>
          <w:szCs w:val="24"/>
        </w:rPr>
        <w:t xml:space="preserve"> informēs visus pretendentus par komisijas pieņemto lēmumu, nosūtot informāciju pa pastu vai elektroniski. </w:t>
      </w:r>
    </w:p>
    <w:p w14:paraId="346551BB" w14:textId="629FD1DD" w:rsidR="007B5498" w:rsidRDefault="004802FE" w:rsidP="004D26D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498">
        <w:rPr>
          <w:rFonts w:ascii="Times New Roman" w:hAnsi="Times New Roman" w:cs="Times New Roman"/>
          <w:sz w:val="24"/>
          <w:szCs w:val="24"/>
        </w:rPr>
        <w:t xml:space="preserve">Ar cenu aptaujas uzvarētāju tiks slēgts līgums atbilstoši </w:t>
      </w:r>
      <w:r w:rsidR="007B5498" w:rsidRPr="007B5498">
        <w:rPr>
          <w:rFonts w:ascii="Times New Roman" w:hAnsi="Times New Roman" w:cs="Times New Roman"/>
          <w:sz w:val="24"/>
          <w:szCs w:val="24"/>
        </w:rPr>
        <w:t>instrukcijai</w:t>
      </w:r>
      <w:r w:rsidRPr="007B5498">
        <w:rPr>
          <w:rFonts w:ascii="Times New Roman" w:hAnsi="Times New Roman" w:cs="Times New Roman"/>
          <w:sz w:val="24"/>
          <w:szCs w:val="24"/>
        </w:rPr>
        <w:t>, cenu aptaujas</w:t>
      </w:r>
      <w:r w:rsidR="007B5498">
        <w:rPr>
          <w:rFonts w:ascii="Times New Roman" w:hAnsi="Times New Roman" w:cs="Times New Roman"/>
          <w:sz w:val="24"/>
          <w:szCs w:val="24"/>
        </w:rPr>
        <w:t xml:space="preserve"> </w:t>
      </w:r>
      <w:r w:rsidRPr="007B5498">
        <w:rPr>
          <w:rFonts w:ascii="Times New Roman" w:hAnsi="Times New Roman" w:cs="Times New Roman"/>
          <w:sz w:val="24"/>
          <w:szCs w:val="24"/>
        </w:rPr>
        <w:t>iepirkuma specifikācijai un pretendenta piedāvājumam.</w:t>
      </w:r>
    </w:p>
    <w:p w14:paraId="53716554" w14:textId="66ABDFC6" w:rsidR="009C5F40" w:rsidRPr="007B5498" w:rsidRDefault="009C5F40" w:rsidP="004D26D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498">
        <w:rPr>
          <w:rFonts w:ascii="Times New Roman" w:hAnsi="Times New Roman" w:cs="Times New Roman"/>
          <w:sz w:val="24"/>
          <w:szCs w:val="24"/>
        </w:rPr>
        <w:t xml:space="preserve">Pasūtītājs slēgs līgumu pamatojoties uz pakalpojuma </w:t>
      </w:r>
      <w:r w:rsidR="007B5498">
        <w:rPr>
          <w:rFonts w:ascii="Times New Roman" w:hAnsi="Times New Roman" w:cs="Times New Roman"/>
          <w:sz w:val="24"/>
          <w:szCs w:val="24"/>
        </w:rPr>
        <w:t>sniedzēja</w:t>
      </w:r>
      <w:r w:rsidRPr="007B5498">
        <w:rPr>
          <w:rFonts w:ascii="Times New Roman" w:hAnsi="Times New Roman" w:cs="Times New Roman"/>
          <w:sz w:val="24"/>
          <w:szCs w:val="24"/>
        </w:rPr>
        <w:t xml:space="preserve"> sagatavotu un ar </w:t>
      </w:r>
      <w:r w:rsidR="00D86FCA">
        <w:rPr>
          <w:rFonts w:ascii="Times New Roman" w:hAnsi="Times New Roman" w:cs="Times New Roman"/>
          <w:sz w:val="24"/>
          <w:szCs w:val="24"/>
        </w:rPr>
        <w:t>pasūtītāju</w:t>
      </w:r>
      <w:r w:rsidRPr="007B5498">
        <w:rPr>
          <w:rFonts w:ascii="Times New Roman" w:hAnsi="Times New Roman" w:cs="Times New Roman"/>
          <w:sz w:val="24"/>
          <w:szCs w:val="24"/>
        </w:rPr>
        <w:t xml:space="preserve"> saskaņotu līgumprojektu. Līgums stājas spēkā no </w:t>
      </w:r>
      <w:r w:rsidR="0048029F" w:rsidRPr="007B5498">
        <w:rPr>
          <w:rFonts w:ascii="Times New Roman" w:hAnsi="Times New Roman" w:cs="Times New Roman"/>
          <w:sz w:val="24"/>
          <w:szCs w:val="24"/>
        </w:rPr>
        <w:t>tā pa</w:t>
      </w:r>
      <w:r w:rsidR="00E77E0A" w:rsidRPr="007B5498">
        <w:rPr>
          <w:rFonts w:ascii="Times New Roman" w:hAnsi="Times New Roman" w:cs="Times New Roman"/>
          <w:sz w:val="24"/>
          <w:szCs w:val="24"/>
        </w:rPr>
        <w:t>rakstīšanas brīža</w:t>
      </w:r>
      <w:r w:rsidRPr="007B5498">
        <w:rPr>
          <w:rFonts w:ascii="Times New Roman" w:hAnsi="Times New Roman" w:cs="Times New Roman"/>
          <w:sz w:val="24"/>
          <w:szCs w:val="24"/>
        </w:rPr>
        <w:t xml:space="preserve">. Līguma izpildes laiks </w:t>
      </w:r>
      <w:r w:rsidR="00D86FCA" w:rsidRPr="00D86FCA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06490D" w:rsidRPr="00D86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029F" w:rsidRPr="007B54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86FCA">
        <w:rPr>
          <w:rFonts w:ascii="Times New Roman" w:hAnsi="Times New Roman" w:cs="Times New Roman"/>
          <w:b/>
          <w:bCs/>
          <w:sz w:val="24"/>
          <w:szCs w:val="24"/>
        </w:rPr>
        <w:t>sešdesmit</w:t>
      </w:r>
      <w:r w:rsidR="0048029F" w:rsidRPr="007B5498">
        <w:rPr>
          <w:rFonts w:ascii="Times New Roman" w:hAnsi="Times New Roman" w:cs="Times New Roman"/>
          <w:b/>
          <w:bCs/>
          <w:sz w:val="24"/>
          <w:szCs w:val="24"/>
        </w:rPr>
        <w:t>) mēneši</w:t>
      </w:r>
      <w:r w:rsidRPr="007B54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492181" w14:textId="3060C1EA" w:rsidR="009C5F40" w:rsidRPr="00D55812" w:rsidRDefault="009C5F40" w:rsidP="009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D55812">
        <w:rPr>
          <w:rFonts w:ascii="Times New Roman" w:hAnsi="Times New Roman" w:cs="Times New Roman"/>
          <w:sz w:val="24"/>
          <w:szCs w:val="24"/>
        </w:rPr>
        <w:t xml:space="preserve">Ieinteresētās personas piedāvājumus var iesniegt līdz </w:t>
      </w:r>
      <w:r w:rsidRPr="005152F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B6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52FE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910A2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86FCA">
        <w:rPr>
          <w:rFonts w:ascii="Times New Roman" w:hAnsi="Times New Roman" w:cs="Times New Roman"/>
          <w:b/>
          <w:bCs/>
          <w:sz w:val="24"/>
          <w:szCs w:val="24"/>
        </w:rPr>
        <w:t>.aprīlim</w:t>
      </w:r>
      <w:r w:rsidRPr="005152FE">
        <w:rPr>
          <w:rFonts w:ascii="Times New Roman" w:hAnsi="Times New Roman" w:cs="Times New Roman"/>
          <w:b/>
          <w:bCs/>
          <w:sz w:val="24"/>
          <w:szCs w:val="24"/>
        </w:rPr>
        <w:t xml:space="preserve"> plkst.</w:t>
      </w:r>
      <w:r w:rsidRPr="00D5581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86F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5581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D55812">
        <w:rPr>
          <w:rFonts w:ascii="Times New Roman" w:hAnsi="Times New Roman" w:cs="Times New Roman"/>
          <w:sz w:val="24"/>
          <w:szCs w:val="24"/>
        </w:rPr>
        <w:t xml:space="preserve">, sūtot to skenētā veidā </w:t>
      </w:r>
      <w:r>
        <w:rPr>
          <w:rFonts w:ascii="Times New Roman" w:hAnsi="Times New Roman" w:cs="Times New Roman"/>
          <w:sz w:val="24"/>
          <w:szCs w:val="24"/>
        </w:rPr>
        <w:t xml:space="preserve">vai parakstītu ar drošu elektronisko parakstu </w:t>
      </w:r>
      <w:r w:rsidRPr="00D55812">
        <w:rPr>
          <w:rFonts w:ascii="Times New Roman" w:hAnsi="Times New Roman" w:cs="Times New Roman"/>
          <w:sz w:val="24"/>
          <w:szCs w:val="24"/>
        </w:rPr>
        <w:t xml:space="preserve">uz e-pastu </w:t>
      </w:r>
      <w:hyperlink r:id="rId8" w:history="1">
        <w:r w:rsidR="00D86FCA" w:rsidRPr="00254940">
          <w:rPr>
            <w:rStyle w:val="Hipersaite"/>
          </w:rPr>
          <w:t>komunalie_pakalpojumi@plavinas.lv</w:t>
        </w:r>
      </w:hyperlink>
      <w:r w:rsidR="00D86FCA">
        <w:t xml:space="preserve"> .</w:t>
      </w:r>
    </w:p>
    <w:p w14:paraId="50973179" w14:textId="77777777" w:rsidR="009C5F40" w:rsidRPr="00D86FCA" w:rsidRDefault="009C5F40" w:rsidP="009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D86FCA">
        <w:rPr>
          <w:rFonts w:ascii="Times New Roman" w:hAnsi="Times New Roman" w:cs="Times New Roman"/>
          <w:sz w:val="24"/>
          <w:szCs w:val="24"/>
        </w:rPr>
        <w:t>Pasūtītājs nodrošina iesniegto piedāvājumu konfidencialitāti līdz iesniegšanas termiņa beigām.</w:t>
      </w:r>
    </w:p>
    <w:p w14:paraId="4239EDBE" w14:textId="34658D36" w:rsidR="00E5599E" w:rsidRPr="00D86FCA" w:rsidRDefault="00E5599E" w:rsidP="00E559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FCA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371FF416" w14:textId="56D0B35F" w:rsidR="00956E39" w:rsidRPr="00D86FCA" w:rsidRDefault="00E5599E" w:rsidP="00152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FCA">
        <w:rPr>
          <w:rFonts w:ascii="Times New Roman" w:hAnsi="Times New Roman" w:cs="Times New Roman"/>
          <w:sz w:val="24"/>
          <w:szCs w:val="24"/>
        </w:rPr>
        <w:t>Pretendentam jāiesniedz:</w:t>
      </w:r>
      <w:r w:rsidR="00956E39" w:rsidRPr="00D86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EF2E0" w14:textId="13B6FD94" w:rsidR="008A7424" w:rsidRPr="00D86FCA" w:rsidRDefault="007A0025" w:rsidP="00152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</w:t>
      </w:r>
      <w:r w:rsidR="003A7FBB" w:rsidRPr="00D86FCA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8A7424" w:rsidRPr="00D86FCA">
        <w:rPr>
          <w:rFonts w:ascii="Times New Roman" w:hAnsi="Times New Roman" w:cs="Times New Roman"/>
          <w:sz w:val="24"/>
          <w:szCs w:val="24"/>
        </w:rPr>
        <w:t xml:space="preserve"> (1.pielikums);</w:t>
      </w:r>
    </w:p>
    <w:p w14:paraId="2F866957" w14:textId="63A12DCF" w:rsidR="00E5599E" w:rsidRPr="00D86FCA" w:rsidRDefault="00E5599E" w:rsidP="00152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FCA">
        <w:rPr>
          <w:rFonts w:ascii="Times New Roman" w:hAnsi="Times New Roman" w:cs="Times New Roman"/>
          <w:sz w:val="24"/>
          <w:szCs w:val="24"/>
        </w:rPr>
        <w:t>Pretendenta pieteikums (</w:t>
      </w:r>
      <w:r w:rsidR="008A7424" w:rsidRPr="00D86FCA">
        <w:rPr>
          <w:rFonts w:ascii="Times New Roman" w:hAnsi="Times New Roman" w:cs="Times New Roman"/>
          <w:sz w:val="24"/>
          <w:szCs w:val="24"/>
        </w:rPr>
        <w:t>2</w:t>
      </w:r>
      <w:r w:rsidRPr="00D86FCA">
        <w:rPr>
          <w:rFonts w:ascii="Times New Roman" w:hAnsi="Times New Roman" w:cs="Times New Roman"/>
          <w:sz w:val="24"/>
          <w:szCs w:val="24"/>
        </w:rPr>
        <w:t>.pielikums)</w:t>
      </w:r>
      <w:r w:rsidR="00134D7A" w:rsidRPr="00D86FCA">
        <w:rPr>
          <w:rFonts w:ascii="Times New Roman" w:hAnsi="Times New Roman" w:cs="Times New Roman"/>
          <w:sz w:val="24"/>
          <w:szCs w:val="24"/>
        </w:rPr>
        <w:t>.</w:t>
      </w:r>
    </w:p>
    <w:p w14:paraId="39674BF8" w14:textId="4ADA46E7" w:rsidR="00134D7A" w:rsidRPr="00D86FCA" w:rsidRDefault="00134D7A" w:rsidP="00152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EF5A5" w14:textId="2E3D5F7B" w:rsidR="00134D7A" w:rsidRDefault="00134D7A" w:rsidP="00152C62">
      <w:pPr>
        <w:spacing w:after="0"/>
        <w:jc w:val="both"/>
        <w:rPr>
          <w:rFonts w:ascii="Times New Roman" w:hAnsi="Times New Roman" w:cs="Times New Roman"/>
        </w:rPr>
      </w:pPr>
    </w:p>
    <w:p w14:paraId="0384CC93" w14:textId="18A8E38B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222E118E" w14:textId="5C64480E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0E2D2844" w14:textId="756E70BF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28E84A7F" w14:textId="727EAE65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00F544BE" w14:textId="5C5ADDCD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24FBE4D5" w14:textId="6E8678C5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37D42304" w14:textId="60501742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B9931C3" w14:textId="3F171088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2E213A2" w14:textId="66183312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496C383E" w14:textId="57B68248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0FB0E33E" w14:textId="100A8842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F1A116E" w14:textId="261BB7C7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106608DD" w14:textId="356EC946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62C44BD" w14:textId="1B55FD59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4CE50E62" w14:textId="0A659148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5833C2A" w14:textId="46A7FC43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35856A7C" w14:textId="5A52F036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3AD6274D" w14:textId="44AE8D17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7677635" w14:textId="572EBAB3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36BD5126" w14:textId="17DEFCC4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6093BC80" w14:textId="1EB3576A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612D39F9" w14:textId="1F15F5B4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287FB19D" w14:textId="45CDA8DB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7DD3A4B5" w14:textId="6AF3419C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1128F184" w14:textId="6AC60188" w:rsidR="00280CCA" w:rsidRDefault="00280CCA" w:rsidP="00152C62">
      <w:pPr>
        <w:spacing w:after="0"/>
        <w:jc w:val="both"/>
        <w:rPr>
          <w:rFonts w:ascii="Times New Roman" w:hAnsi="Times New Roman" w:cs="Times New Roman"/>
        </w:rPr>
      </w:pPr>
    </w:p>
    <w:p w14:paraId="4935C188" w14:textId="2E4E5374" w:rsidR="00280CCA" w:rsidRDefault="00280CCA" w:rsidP="00152C62">
      <w:pPr>
        <w:spacing w:after="0"/>
        <w:jc w:val="both"/>
        <w:rPr>
          <w:rFonts w:ascii="Times New Roman" w:hAnsi="Times New Roman" w:cs="Times New Roman"/>
        </w:rPr>
      </w:pPr>
    </w:p>
    <w:p w14:paraId="0DE442D7" w14:textId="08E4E057" w:rsidR="00280CCA" w:rsidRDefault="00280CCA" w:rsidP="00152C62">
      <w:pPr>
        <w:spacing w:after="0"/>
        <w:jc w:val="both"/>
        <w:rPr>
          <w:rFonts w:ascii="Times New Roman" w:hAnsi="Times New Roman" w:cs="Times New Roman"/>
        </w:rPr>
      </w:pPr>
    </w:p>
    <w:p w14:paraId="4F7F1FDA" w14:textId="5AF5DB84" w:rsidR="00280CCA" w:rsidRDefault="00280CCA" w:rsidP="00152C62">
      <w:pPr>
        <w:spacing w:after="0"/>
        <w:jc w:val="both"/>
        <w:rPr>
          <w:rFonts w:ascii="Times New Roman" w:hAnsi="Times New Roman" w:cs="Times New Roman"/>
        </w:rPr>
      </w:pPr>
    </w:p>
    <w:p w14:paraId="24F33152" w14:textId="77777777" w:rsidR="00280CCA" w:rsidRDefault="00280CCA" w:rsidP="00152C62">
      <w:pPr>
        <w:spacing w:after="0"/>
        <w:jc w:val="both"/>
        <w:rPr>
          <w:rFonts w:ascii="Times New Roman" w:hAnsi="Times New Roman" w:cs="Times New Roman"/>
        </w:rPr>
      </w:pPr>
    </w:p>
    <w:p w14:paraId="55AFA38A" w14:textId="4E21C497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007FBE6F" w14:textId="3FB9592E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449EFDAC" w14:textId="22768B20" w:rsidR="00D86FCA" w:rsidRDefault="00D86FCA" w:rsidP="00152C62">
      <w:pPr>
        <w:spacing w:after="0"/>
        <w:jc w:val="both"/>
        <w:rPr>
          <w:rFonts w:ascii="Times New Roman" w:hAnsi="Times New Roman" w:cs="Times New Roman"/>
        </w:rPr>
      </w:pPr>
    </w:p>
    <w:p w14:paraId="688F42EB" w14:textId="2E5AF665" w:rsidR="00B6245E" w:rsidRDefault="00B6245E" w:rsidP="00D86FCA">
      <w:pPr>
        <w:pStyle w:val="Sarakstarindkopa"/>
        <w:numPr>
          <w:ilvl w:val="0"/>
          <w:numId w:val="1"/>
        </w:num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</w:t>
      </w:r>
      <w:r w:rsidR="00AA7947" w:rsidRPr="00AA7947">
        <w:rPr>
          <w:rFonts w:ascii="Times New Roman" w:eastAsia="Times New Roman" w:hAnsi="Times New Roman" w:cs="Times New Roman"/>
          <w:b/>
          <w:bCs/>
          <w:sz w:val="24"/>
          <w:szCs w:val="24"/>
        </w:rPr>
        <w:t>ielikums</w:t>
      </w:r>
    </w:p>
    <w:p w14:paraId="72AB5C1A" w14:textId="32F9425D" w:rsidR="00731B36" w:rsidRDefault="00731B36" w:rsidP="00731B36">
      <w:pPr>
        <w:pStyle w:val="Sarakstarindkop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3B970" w14:textId="77777777" w:rsidR="00731B36" w:rsidRPr="00036F37" w:rsidRDefault="00731B36" w:rsidP="00731B36">
      <w:pPr>
        <w:pStyle w:val="Sarakstarindkop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4B68D2" w14:textId="68C45E35" w:rsidR="00565145" w:rsidRPr="00036F37" w:rsidRDefault="00036F37" w:rsidP="005651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IEPIRKUMA SPECIFIKĀCIJA</w:t>
      </w:r>
    </w:p>
    <w:p w14:paraId="6BEF1BD5" w14:textId="77777777" w:rsidR="00036F37" w:rsidRDefault="00731B36" w:rsidP="00731B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6F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Cenu aptaujai </w:t>
      </w:r>
    </w:p>
    <w:p w14:paraId="38324BEE" w14:textId="5F354B86" w:rsidR="00731B36" w:rsidRPr="00036F37" w:rsidRDefault="000537B5" w:rsidP="00731B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31B36" w:rsidRPr="00036F37">
        <w:rPr>
          <w:rFonts w:ascii="Times New Roman" w:hAnsi="Times New Roman" w:cs="Times New Roman"/>
          <w:b/>
          <w:bCs/>
          <w:sz w:val="28"/>
          <w:szCs w:val="28"/>
        </w:rPr>
        <w:t>Finanšu līzinga pakalpojumi jauna riteņtraktora iegādei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C97CC37" w14:textId="77777777" w:rsidR="00731B36" w:rsidRPr="00036F37" w:rsidRDefault="00731B36" w:rsidP="00731B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F37">
        <w:rPr>
          <w:rFonts w:ascii="Times New Roman" w:hAnsi="Times New Roman" w:cs="Times New Roman"/>
          <w:b/>
          <w:bCs/>
          <w:sz w:val="28"/>
          <w:szCs w:val="28"/>
        </w:rPr>
        <w:t>identifikācijas Nr. PKP 2022/2</w:t>
      </w:r>
    </w:p>
    <w:p w14:paraId="64010E4A" w14:textId="66824341" w:rsidR="00565145" w:rsidRPr="00565145" w:rsidRDefault="00565145" w:rsidP="005651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5901FB2" w14:textId="77777777" w:rsidR="00984693" w:rsidRDefault="00B050E7" w:rsidP="00D86FCA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Finanšu līzinga termiņš – </w:t>
      </w:r>
      <w:r w:rsidRPr="009846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 (sešdesmit)</w:t>
      </w:r>
      <w:r w:rsidRPr="0098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mēneši no riteņtraktora pieņemšanas</w:t>
      </w:r>
      <w:r w:rsidR="004802FE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nodošanas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akta parakstīšanas.</w:t>
      </w:r>
    </w:p>
    <w:p w14:paraId="195FCEF9" w14:textId="7CD1471F" w:rsidR="003A0060" w:rsidRPr="00984693" w:rsidRDefault="003A0060" w:rsidP="00D86FCA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Riteņtraktora iepirkuma cena EUR</w:t>
      </w:r>
      <w:r w:rsidR="000537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0CCA">
        <w:rPr>
          <w:rFonts w:ascii="Times New Roman" w:eastAsia="Times New Roman" w:hAnsi="Times New Roman" w:cs="Times New Roman"/>
          <w:sz w:val="24"/>
          <w:szCs w:val="24"/>
          <w:lang w:eastAsia="ar-SA"/>
        </w:rPr>
        <w:t>36990.00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PVN.</w:t>
      </w:r>
    </w:p>
    <w:p w14:paraId="7AA26A46" w14:textId="77777777" w:rsidR="00984693" w:rsidRDefault="00B050E7" w:rsidP="00D86FCA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Pirmā iemaksa 10% apmērā no </w:t>
      </w:r>
      <w:r w:rsidR="00045CA9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riteņ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traktora </w:t>
      </w:r>
      <w:r w:rsidR="00045CA9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līgum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cenas, bez PVN.</w:t>
      </w:r>
    </w:p>
    <w:p w14:paraId="12AD03BA" w14:textId="77777777" w:rsidR="00984693" w:rsidRDefault="00C14664" w:rsidP="00984693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Finanšu līzings ir 90% no kopējās 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riteņtraktora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iegādes summas, ieskaitot PVN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CE7C8D7" w14:textId="77777777" w:rsidR="00984693" w:rsidRDefault="009D117B" w:rsidP="00984693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līzinga nodrošinājums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iegādājam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riteņtraktors.</w:t>
      </w:r>
    </w:p>
    <w:p w14:paraId="6D9DB3E2" w14:textId="77777777" w:rsidR="00984693" w:rsidRDefault="00B050E7" w:rsidP="00984693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Līzinga pilnas summas vai tās daļas pirmstermiņa atmaksa bez soda procentiem.</w:t>
      </w:r>
    </w:p>
    <w:p w14:paraId="52B2CEA8" w14:textId="58AFDC27" w:rsidR="009D117B" w:rsidRPr="00984693" w:rsidRDefault="009D117B" w:rsidP="00984693">
      <w:pPr>
        <w:pStyle w:val="Sarakstarindkopa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Saņemtā finanšu līzinga atmaksa Pasūtītājam sākas ne ātrāk kā nākamajā mēnesī pēc tā saņemšanas</w:t>
      </w:r>
      <w:r w:rsidR="00910A27"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A2EA19" w14:textId="69E5F79A" w:rsidR="00B6245E" w:rsidRDefault="00B6245E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658C81B" w14:textId="070182A3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D5DFC" w14:textId="160B8449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EA209" w14:textId="41FB11FB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D9470" w14:textId="506466C0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C6BA54" w14:textId="00E6F58C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66A4D9" w14:textId="77CEDA05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8ED82B" w14:textId="6407C841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9A4F44" w14:textId="4FDF9B86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5E49E2" w14:textId="4C4533A6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DB4B43" w14:textId="18E308A8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CFDB2A" w14:textId="3917B4B2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BF3B8" w14:textId="7741B8A0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54C9B6" w14:textId="62CB210F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C02367" w14:textId="571AEFEC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7311D8" w14:textId="3C804E88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5180B0" w14:textId="4EC2AC24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2B081" w14:textId="084A0D06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E24F96" w14:textId="5413EE01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9E8544" w14:textId="2B6B4092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98E3BA" w14:textId="20652360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0AD451" w14:textId="31801B57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B25F" w14:textId="61B8B137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3687F" w14:textId="377C77A0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60466" w14:textId="2AE39DA4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235539" w14:textId="5B8951D5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154866" w14:textId="518739BC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BEC27A" w14:textId="7037B2B6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FDBA4" w14:textId="7829EF3A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B7D4D" w14:textId="4892EF47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F25DD2" w14:textId="380611C3" w:rsidR="00D86FCA" w:rsidRDefault="00D86FCA" w:rsidP="00D86FCA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251B6" w14:textId="5612BF75" w:rsidR="00AA7947" w:rsidRPr="00AA7947" w:rsidRDefault="00B6245E" w:rsidP="00D86FCA">
      <w:pPr>
        <w:pStyle w:val="Sarakstarindkopa"/>
        <w:numPr>
          <w:ilvl w:val="0"/>
          <w:numId w:val="1"/>
        </w:num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Pielikums</w:t>
      </w:r>
      <w:r w:rsidR="00AA7947" w:rsidRPr="00AA7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B559DF7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99E779" w14:textId="2E2FDE29" w:rsidR="00AA7947" w:rsidRPr="000537B5" w:rsidRDefault="000537B5" w:rsidP="00AA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7B5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4151BF29" w14:textId="77777777" w:rsidR="00AA7947" w:rsidRPr="000537B5" w:rsidRDefault="00AA7947" w:rsidP="00AA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BD77E" w14:textId="3D6E0E3F" w:rsidR="00104BB0" w:rsidRPr="000537B5" w:rsidRDefault="000537B5" w:rsidP="005D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7B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AE6F49" w:rsidRPr="000537B5">
        <w:rPr>
          <w:rFonts w:ascii="Times New Roman" w:eastAsia="Times New Roman" w:hAnsi="Times New Roman" w:cs="Times New Roman"/>
          <w:b/>
          <w:sz w:val="24"/>
          <w:szCs w:val="24"/>
        </w:rPr>
        <w:t>Finanšu līzinga pakalpojumi jauna riteņtraktora iegādei</w:t>
      </w:r>
      <w:r w:rsidRPr="000537B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D4679" w:rsidRPr="000537B5">
        <w:rPr>
          <w:rFonts w:ascii="Times New Roman" w:eastAsia="Times New Roman" w:hAnsi="Times New Roman" w:cs="Times New Roman"/>
          <w:b/>
          <w:sz w:val="24"/>
          <w:szCs w:val="24"/>
        </w:rPr>
        <w:t xml:space="preserve"> identifikācijas Nr. </w:t>
      </w:r>
      <w:r w:rsidR="00EA7B06" w:rsidRPr="000537B5">
        <w:rPr>
          <w:rFonts w:ascii="Times New Roman" w:eastAsia="Times New Roman" w:hAnsi="Times New Roman" w:cs="Times New Roman"/>
          <w:b/>
          <w:sz w:val="24"/>
          <w:szCs w:val="24"/>
        </w:rPr>
        <w:t>PKP 2022</w:t>
      </w:r>
      <w:r w:rsidR="00107ECC" w:rsidRPr="000537B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A7B06" w:rsidRPr="000537B5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182294E" w14:textId="77777777" w:rsidR="005D4679" w:rsidRPr="000537B5" w:rsidRDefault="005D4679" w:rsidP="005D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313B0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50872E6A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10A87C39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17921F31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5BC36C19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7316D7FE" w14:textId="518D38E6" w:rsid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090E8379" w14:textId="0CD66000" w:rsidR="000E1C26" w:rsidRDefault="000E1C26" w:rsidP="000E1C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(ieņemamais amats, vārds, uzvārds)</w:t>
      </w:r>
    </w:p>
    <w:p w14:paraId="31CCBD40" w14:textId="16851718" w:rsidR="000E1C26" w:rsidRDefault="000E1C26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5C691" w14:textId="57CEAB88" w:rsidR="00FC53ED" w:rsidRDefault="00FC53ED" w:rsidP="00FC53ED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Finanšu līzinga pakalpojum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u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jauna riteņtraktora iegādei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tbl>
      <w:tblPr>
        <w:tblStyle w:val="Reatabula"/>
        <w:tblW w:w="10021" w:type="dxa"/>
        <w:tblLook w:val="04A0" w:firstRow="1" w:lastRow="0" w:firstColumn="1" w:lastColumn="0" w:noHBand="0" w:noVBand="1"/>
      </w:tblPr>
      <w:tblGrid>
        <w:gridCol w:w="1744"/>
        <w:gridCol w:w="1228"/>
        <w:gridCol w:w="1418"/>
        <w:gridCol w:w="1701"/>
        <w:gridCol w:w="1984"/>
        <w:gridCol w:w="1946"/>
      </w:tblGrid>
      <w:tr w:rsidR="00FC53ED" w14:paraId="08EC3D08" w14:textId="77777777" w:rsidTr="001F7BBB">
        <w:tc>
          <w:tcPr>
            <w:tcW w:w="1744" w:type="dxa"/>
          </w:tcPr>
          <w:p w14:paraId="62CF64D7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Marka, modelis</w:t>
            </w:r>
          </w:p>
        </w:tc>
        <w:tc>
          <w:tcPr>
            <w:tcW w:w="1228" w:type="dxa"/>
          </w:tcPr>
          <w:p w14:paraId="495C86D6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Cena EUR</w:t>
            </w:r>
          </w:p>
          <w:p w14:paraId="7DADADCF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bez PVN</w:t>
            </w:r>
          </w:p>
          <w:p w14:paraId="0AF1D7E3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F3D256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Cena EUR </w:t>
            </w:r>
          </w:p>
          <w:p w14:paraId="76D93A41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ar PVN 21%</w:t>
            </w:r>
          </w:p>
          <w:p w14:paraId="069CCA20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802E080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Līzinga procentu </w:t>
            </w:r>
          </w:p>
          <w:p w14:paraId="316B7527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likme un summa*</w:t>
            </w:r>
          </w:p>
          <w:p w14:paraId="027A2D2B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4236F7D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Vērtējamā </w:t>
            </w:r>
          </w:p>
          <w:p w14:paraId="7E78CFF9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cena EUR (cena EUR </w:t>
            </w:r>
          </w:p>
          <w:p w14:paraId="7BCF71D3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bez PVN+ līzinga </w:t>
            </w:r>
          </w:p>
          <w:p w14:paraId="604E9AEB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procentu summa u.c. </w:t>
            </w:r>
          </w:p>
          <w:p w14:paraId="429A1F88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līzinga izdevumi)**</w:t>
            </w:r>
          </w:p>
          <w:p w14:paraId="2DB88F68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1C624AF2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Kopējā </w:t>
            </w:r>
          </w:p>
          <w:p w14:paraId="01E1E84E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finanšu </w:t>
            </w:r>
          </w:p>
          <w:p w14:paraId="5299A943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līzinga </w:t>
            </w:r>
          </w:p>
          <w:p w14:paraId="6BFF60A2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maksa EUR </w:t>
            </w:r>
          </w:p>
          <w:p w14:paraId="3F2B09E8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(ar PVN) </w:t>
            </w:r>
          </w:p>
          <w:p w14:paraId="7127E836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(mēneša </w:t>
            </w:r>
          </w:p>
          <w:p w14:paraId="23046524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maksājums X</w:t>
            </w:r>
          </w:p>
          <w:p w14:paraId="7AA8E3ED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60 mēneši)</w:t>
            </w:r>
          </w:p>
          <w:p w14:paraId="3C3CF0BC" w14:textId="77777777" w:rsidR="00FC53ED" w:rsidRDefault="00FC53ED" w:rsidP="001F7B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C53ED" w14:paraId="0E70D9F8" w14:textId="77777777" w:rsidTr="001F7BBB">
        <w:tc>
          <w:tcPr>
            <w:tcW w:w="1744" w:type="dxa"/>
          </w:tcPr>
          <w:p w14:paraId="69EE227D" w14:textId="681D26B3" w:rsidR="00FC53ED" w:rsidRDefault="00280CCA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BELARUS – 1221.2</w:t>
            </w:r>
          </w:p>
        </w:tc>
        <w:tc>
          <w:tcPr>
            <w:tcW w:w="1228" w:type="dxa"/>
          </w:tcPr>
          <w:p w14:paraId="6FADF34B" w14:textId="5BD7EAE6" w:rsidR="00FC53ED" w:rsidRDefault="00280CCA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36990.00</w:t>
            </w:r>
          </w:p>
        </w:tc>
        <w:tc>
          <w:tcPr>
            <w:tcW w:w="1418" w:type="dxa"/>
          </w:tcPr>
          <w:p w14:paraId="7F5B74EF" w14:textId="03079DFB" w:rsidR="00FC53ED" w:rsidRDefault="00280CCA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44757.90</w:t>
            </w:r>
          </w:p>
        </w:tc>
        <w:tc>
          <w:tcPr>
            <w:tcW w:w="1701" w:type="dxa"/>
          </w:tcPr>
          <w:p w14:paraId="72A1FC38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4B55D2E0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3687AFD2" w14:textId="77777777" w:rsidR="00FC53ED" w:rsidRDefault="00FC53ED" w:rsidP="001F7B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C53ED" w14:paraId="4466CDAC" w14:textId="77777777" w:rsidTr="001F7BBB">
        <w:tc>
          <w:tcPr>
            <w:tcW w:w="1744" w:type="dxa"/>
          </w:tcPr>
          <w:p w14:paraId="1A66A7EF" w14:textId="77777777" w:rsidR="00FC53ED" w:rsidRPr="00A40673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Kopā:</w:t>
            </w:r>
          </w:p>
          <w:p w14:paraId="6F452F13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</w:tcPr>
          <w:p w14:paraId="4C2BCF08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7B24BBC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E103F5E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705BCB58" w14:textId="77777777" w:rsidR="00FC53ED" w:rsidRDefault="00FC53ED" w:rsidP="001F7BBB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0C94D2C7" w14:textId="77777777" w:rsidR="00FC53ED" w:rsidRDefault="00FC53ED" w:rsidP="001F7B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6ED0DDC" w14:textId="77777777" w:rsidR="00FC53ED" w:rsidRDefault="00FC53ED" w:rsidP="00FC53ED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F398A9D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</w:t>
      </w: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Līzinga procentu summa EUR jāaprēķina no preces cenas ar PVN.</w:t>
      </w:r>
    </w:p>
    <w:p w14:paraId="1D876CC6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**Piedāvājuma cenā (finanšu līzinga maksā) ir iekļauts:</w:t>
      </w:r>
    </w:p>
    <w:p w14:paraId="6F64A332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1) Traktora cena, visi nodokļi un nodevas, izņemot PVN, kas jāveic līdz traktora reģistrācijas brīdim VTUI;</w:t>
      </w:r>
    </w:p>
    <w:p w14:paraId="02D5A902" w14:textId="2370DC6D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2) reģistrācijas izmaksas VTUI, Pasūtītāju norādot kā turētāju. OCTA iegādi veiks </w:t>
      </w:r>
      <w:r w:rsidR="00280CC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Pasūtītājs</w:t>
      </w: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59C15E4F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3) pirmspārdošanas tehniskās apskates/sagatavošanas izmaksas (pirms traktora nodošanas </w:t>
      </w:r>
    </w:p>
    <w:p w14:paraId="6A4BD976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Pasūtītājam);</w:t>
      </w:r>
    </w:p>
    <w:p w14:paraId="7AE26FC3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4) pirmā iemaksa (priekšapmaksa) 10 % apmērā no līguma summas, neieskaitot PVN;</w:t>
      </w:r>
    </w:p>
    <w:p w14:paraId="5BE67B42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5) nemainīgi kredītprocenti visā finanšu līzinga periodā;</w:t>
      </w:r>
    </w:p>
    <w:p w14:paraId="341370B7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6) administratīvās izmaksas par finanšu līzinga līguma noformēšanu;</w:t>
      </w:r>
    </w:p>
    <w:p w14:paraId="68D7D8DF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7) visi iespējamies riski, kas saistīti ar tirgus cenu svārstībām plānotajā iepirkuma līguma </w:t>
      </w:r>
    </w:p>
    <w:p w14:paraId="3BA7CC49" w14:textId="77777777" w:rsidR="00FC53ED" w:rsidRPr="00A40673" w:rsidRDefault="00FC53ED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izpildes laikā;</w:t>
      </w:r>
    </w:p>
    <w:p w14:paraId="4078367B" w14:textId="77777777" w:rsidR="000E1C26" w:rsidRDefault="000E1C26" w:rsidP="00945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FE97D" w14:textId="77777777" w:rsidR="000E1C26" w:rsidRDefault="000E1C26" w:rsidP="00945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1117A" w14:textId="77777777" w:rsidR="00104BB0" w:rsidRPr="00AA7947" w:rsidRDefault="00104BB0" w:rsidP="00945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42E5C" w14:textId="7EE8E211" w:rsidR="00AA7947" w:rsidRDefault="00AA7947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</w:t>
      </w:r>
      <w:r w:rsidR="00FB6B43"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piedāvā veikt </w:t>
      </w:r>
      <w:r w:rsidR="00AE6F49"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Finanšu līzinga pakalpojum</w:t>
      </w:r>
      <w:r w:rsid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u</w:t>
      </w:r>
      <w:r w:rsidR="00AE6F49"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jauna riteņtraktora iegādei</w:t>
      </w:r>
      <w:r w:rsidR="00336120"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 w:rsidR="00752BD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minētajām prasībām. </w:t>
      </w:r>
    </w:p>
    <w:p w14:paraId="75E9B5E8" w14:textId="77777777" w:rsidR="00A40673" w:rsidRDefault="00A40673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B8AF8CD" w14:textId="4CCAFE1D" w:rsidR="00A40673" w:rsidRPr="00A40673" w:rsidRDefault="00A40673" w:rsidP="00945DF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Nav pieļaujams, ka rastos kādi apstākļi, kas padarītu neiespējamu iegādi bez papildus izmaksām, kas tiktu pieprasītas no Pasūtītāja. Jebkurām izmaksām ir jābūt iekļautām piedāvājuma cenā.</w:t>
      </w:r>
    </w:p>
    <w:p w14:paraId="2F046824" w14:textId="77777777" w:rsidR="00FC53ED" w:rsidRDefault="00FC53ED" w:rsidP="00A4067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D779DA6" w14:textId="7DC94FB9" w:rsidR="00A40673" w:rsidRPr="00A40673" w:rsidRDefault="00A40673" w:rsidP="00A4067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Pielikumā:</w:t>
      </w:r>
    </w:p>
    <w:p w14:paraId="30E7C697" w14:textId="77777777" w:rsidR="00A40673" w:rsidRPr="00A40673" w:rsidRDefault="00A40673" w:rsidP="00A4067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1. Pretendenta iesniegtais līzinga maksājumu grafiks 60 (sešdesmit) mēnešiem.</w:t>
      </w:r>
    </w:p>
    <w:p w14:paraId="67EDBB4F" w14:textId="77777777" w:rsidR="00991887" w:rsidRDefault="00991887" w:rsidP="00A4067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6BA6E2A" w14:textId="2FEB10BC" w:rsidR="00A40673" w:rsidRPr="00A40673" w:rsidRDefault="00A40673" w:rsidP="00A4067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Pretendenta pārstāvis</w:t>
      </w:r>
    </w:p>
    <w:p w14:paraId="60335E8F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DBF9042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1FCD8510" w14:textId="77777777" w:rsidR="00984693" w:rsidRDefault="00AA7947" w:rsidP="00B6524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31EE16B9" w14:textId="5459EE36" w:rsidR="00B65242" w:rsidRPr="00984693" w:rsidRDefault="00984693" w:rsidP="00B6524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 xml:space="preserve">3) </w:t>
      </w:r>
      <w:r w:rsidR="00B65242"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Šis piedāvājums ir derīgs </w:t>
      </w:r>
      <w:r w:rsidR="00945DF4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_____</w:t>
      </w:r>
      <w:r w:rsidR="00FC53ED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 w:rsidR="00B65242"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kalendārās dienas, skaitot no piedāvājuma iesniegšanas termiņa beigām (termiņš ne mazāk kā 30 (trīsdesmit) kalendārās dienas).</w:t>
      </w:r>
    </w:p>
    <w:p w14:paraId="15EA7819" w14:textId="2C0F84BF" w:rsidR="00B65242" w:rsidRPr="00B65242" w:rsidRDefault="00984693" w:rsidP="00B6524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4) </w:t>
      </w:r>
      <w:r w:rsidR="00B65242"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Ja piedāvājums tiks pieņemts, apņemamies noslēgt līgumu _________ kalendāro dienu laikā, skaitot no pasūtītāja uzaicinājuma izteikšanas dienas (termiņš ne ilgāks kā 5 (piecas) kalendārās dienas).</w:t>
      </w:r>
    </w:p>
    <w:p w14:paraId="57B31D50" w14:textId="4995B3AA" w:rsidR="00B65242" w:rsidRDefault="00B65242" w:rsidP="00B6524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A5A73" w14:textId="77777777" w:rsidR="00984693" w:rsidRDefault="00984693" w:rsidP="00B6524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C0545" w14:textId="36D2FEFC" w:rsidR="00B65242" w:rsidRDefault="00B65242" w:rsidP="00B6524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C3459" w14:textId="29C63070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 w:rsidR="0072240C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 w:rsidR="0072240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  <w:r w:rsidR="00B65242">
        <w:rPr>
          <w:rFonts w:ascii="Times New Roman" w:eastAsia="Times New Roman" w:hAnsi="Times New Roman" w:cs="Times New Roman"/>
          <w:sz w:val="24"/>
          <w:szCs w:val="24"/>
        </w:rPr>
        <w:tab/>
      </w:r>
      <w:r w:rsidR="00B65242">
        <w:rPr>
          <w:rFonts w:ascii="Times New Roman" w:eastAsia="Times New Roman" w:hAnsi="Times New Roman" w:cs="Times New Roman"/>
          <w:sz w:val="24"/>
          <w:szCs w:val="24"/>
        </w:rPr>
        <w:tab/>
      </w:r>
      <w:r w:rsidR="00B65242"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</w:p>
    <w:p w14:paraId="4D4129FA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F4282C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4CB5FD58" w14:textId="77777777" w:rsidR="00AA7947" w:rsidRPr="00AA7947" w:rsidRDefault="00AA7947" w:rsidP="00AA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4FF3E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A10F90" w14:textId="25DEC5BB" w:rsidR="00197B8F" w:rsidRDefault="00197B8F" w:rsidP="007A1AB6">
      <w:pPr>
        <w:jc w:val="both"/>
        <w:rPr>
          <w:rFonts w:ascii="Times New Roman" w:hAnsi="Times New Roman" w:cs="Times New Roman"/>
        </w:rPr>
      </w:pPr>
    </w:p>
    <w:p w14:paraId="6E54562C" w14:textId="381E543E" w:rsidR="00197B8F" w:rsidRDefault="00197B8F" w:rsidP="007A1AB6">
      <w:pPr>
        <w:jc w:val="both"/>
        <w:rPr>
          <w:rFonts w:ascii="Times New Roman" w:hAnsi="Times New Roman" w:cs="Times New Roman"/>
        </w:rPr>
      </w:pPr>
    </w:p>
    <w:p w14:paraId="1AA02173" w14:textId="77777777" w:rsidR="00336120" w:rsidRDefault="00336120" w:rsidP="007A1AB6">
      <w:pPr>
        <w:jc w:val="both"/>
        <w:rPr>
          <w:rFonts w:ascii="Times New Roman" w:hAnsi="Times New Roman" w:cs="Times New Roman"/>
        </w:rPr>
      </w:pPr>
    </w:p>
    <w:sectPr w:rsidR="00336120" w:rsidSect="00AE6F49">
      <w:pgSz w:w="11906" w:h="16838"/>
      <w:pgMar w:top="1135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8680" w14:textId="77777777" w:rsidR="00D1665C" w:rsidRDefault="00D1665C" w:rsidP="00866BE9">
      <w:pPr>
        <w:spacing w:after="0" w:line="240" w:lineRule="auto"/>
      </w:pPr>
      <w:r>
        <w:separator/>
      </w:r>
    </w:p>
  </w:endnote>
  <w:endnote w:type="continuationSeparator" w:id="0">
    <w:p w14:paraId="315DAD87" w14:textId="77777777" w:rsidR="00D1665C" w:rsidRDefault="00D1665C" w:rsidP="0086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9CB2" w14:textId="77777777" w:rsidR="00D1665C" w:rsidRDefault="00D1665C" w:rsidP="00866BE9">
      <w:pPr>
        <w:spacing w:after="0" w:line="240" w:lineRule="auto"/>
      </w:pPr>
      <w:r>
        <w:separator/>
      </w:r>
    </w:p>
  </w:footnote>
  <w:footnote w:type="continuationSeparator" w:id="0">
    <w:p w14:paraId="4CBFC9B2" w14:textId="77777777" w:rsidR="00D1665C" w:rsidRDefault="00D1665C" w:rsidP="0086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D36"/>
    <w:multiLevelType w:val="multilevel"/>
    <w:tmpl w:val="3E7C7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570B2"/>
    <w:multiLevelType w:val="multilevel"/>
    <w:tmpl w:val="B024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641701"/>
    <w:multiLevelType w:val="multilevel"/>
    <w:tmpl w:val="4E3472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86C15C7"/>
    <w:multiLevelType w:val="hybridMultilevel"/>
    <w:tmpl w:val="43161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0096"/>
    <w:multiLevelType w:val="hybridMultilevel"/>
    <w:tmpl w:val="EEC82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3D34"/>
    <w:multiLevelType w:val="multilevel"/>
    <w:tmpl w:val="8B524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885039"/>
    <w:multiLevelType w:val="multilevel"/>
    <w:tmpl w:val="92568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0813DA"/>
    <w:multiLevelType w:val="hybridMultilevel"/>
    <w:tmpl w:val="3294E28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26C"/>
    <w:multiLevelType w:val="multilevel"/>
    <w:tmpl w:val="B55A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6"/>
    <w:rsid w:val="0000474D"/>
    <w:rsid w:val="00014A8C"/>
    <w:rsid w:val="00036F37"/>
    <w:rsid w:val="00045CA9"/>
    <w:rsid w:val="000537B5"/>
    <w:rsid w:val="0006490D"/>
    <w:rsid w:val="000B1296"/>
    <w:rsid w:val="000B1928"/>
    <w:rsid w:val="000C68B1"/>
    <w:rsid w:val="000E1C26"/>
    <w:rsid w:val="00104BB0"/>
    <w:rsid w:val="00107ECC"/>
    <w:rsid w:val="00110043"/>
    <w:rsid w:val="0011752C"/>
    <w:rsid w:val="00134D7A"/>
    <w:rsid w:val="001376A8"/>
    <w:rsid w:val="00152C62"/>
    <w:rsid w:val="00160769"/>
    <w:rsid w:val="00172BDA"/>
    <w:rsid w:val="00197B8F"/>
    <w:rsid w:val="00203ABD"/>
    <w:rsid w:val="002231E1"/>
    <w:rsid w:val="002247D7"/>
    <w:rsid w:val="0026115C"/>
    <w:rsid w:val="00280CCA"/>
    <w:rsid w:val="00294C04"/>
    <w:rsid w:val="002B2165"/>
    <w:rsid w:val="002D6D50"/>
    <w:rsid w:val="002F46B8"/>
    <w:rsid w:val="0030633E"/>
    <w:rsid w:val="003112A8"/>
    <w:rsid w:val="003352A7"/>
    <w:rsid w:val="00336120"/>
    <w:rsid w:val="003378F7"/>
    <w:rsid w:val="00342046"/>
    <w:rsid w:val="003442D2"/>
    <w:rsid w:val="00354BDE"/>
    <w:rsid w:val="00370BD9"/>
    <w:rsid w:val="00384422"/>
    <w:rsid w:val="00391AEA"/>
    <w:rsid w:val="003A0060"/>
    <w:rsid w:val="003A7FBB"/>
    <w:rsid w:val="003B106B"/>
    <w:rsid w:val="003B43D1"/>
    <w:rsid w:val="003B6808"/>
    <w:rsid w:val="003C7FAF"/>
    <w:rsid w:val="003D3575"/>
    <w:rsid w:val="003F1AE9"/>
    <w:rsid w:val="00403599"/>
    <w:rsid w:val="0041681C"/>
    <w:rsid w:val="0046350E"/>
    <w:rsid w:val="00465773"/>
    <w:rsid w:val="0048029F"/>
    <w:rsid w:val="004802FE"/>
    <w:rsid w:val="004B25FB"/>
    <w:rsid w:val="004D26DD"/>
    <w:rsid w:val="004D4AB2"/>
    <w:rsid w:val="005141B4"/>
    <w:rsid w:val="00522153"/>
    <w:rsid w:val="0055321A"/>
    <w:rsid w:val="005640CA"/>
    <w:rsid w:val="00565145"/>
    <w:rsid w:val="00570ED0"/>
    <w:rsid w:val="00576196"/>
    <w:rsid w:val="005A7E0A"/>
    <w:rsid w:val="005D4679"/>
    <w:rsid w:val="00670B78"/>
    <w:rsid w:val="00695D38"/>
    <w:rsid w:val="006D61E0"/>
    <w:rsid w:val="0070031F"/>
    <w:rsid w:val="007013E2"/>
    <w:rsid w:val="007102F4"/>
    <w:rsid w:val="0072240C"/>
    <w:rsid w:val="00731B36"/>
    <w:rsid w:val="00752BDF"/>
    <w:rsid w:val="007550D0"/>
    <w:rsid w:val="007A0025"/>
    <w:rsid w:val="007A1AB6"/>
    <w:rsid w:val="007B5498"/>
    <w:rsid w:val="007C5002"/>
    <w:rsid w:val="007E3FE1"/>
    <w:rsid w:val="007F5A36"/>
    <w:rsid w:val="007F7BF5"/>
    <w:rsid w:val="008063E9"/>
    <w:rsid w:val="00844AD4"/>
    <w:rsid w:val="00844EE1"/>
    <w:rsid w:val="00847C9F"/>
    <w:rsid w:val="00866BE9"/>
    <w:rsid w:val="00870682"/>
    <w:rsid w:val="00873553"/>
    <w:rsid w:val="00881876"/>
    <w:rsid w:val="008A0F08"/>
    <w:rsid w:val="008A18E9"/>
    <w:rsid w:val="008A7424"/>
    <w:rsid w:val="00903E0D"/>
    <w:rsid w:val="00910A27"/>
    <w:rsid w:val="0092295F"/>
    <w:rsid w:val="00945DF4"/>
    <w:rsid w:val="00953609"/>
    <w:rsid w:val="00956E39"/>
    <w:rsid w:val="00984693"/>
    <w:rsid w:val="0098499C"/>
    <w:rsid w:val="00991887"/>
    <w:rsid w:val="009C5F40"/>
    <w:rsid w:val="009D117B"/>
    <w:rsid w:val="009E6ECB"/>
    <w:rsid w:val="009F227C"/>
    <w:rsid w:val="00A01C24"/>
    <w:rsid w:val="00A2192F"/>
    <w:rsid w:val="00A40673"/>
    <w:rsid w:val="00A91D6E"/>
    <w:rsid w:val="00AA3225"/>
    <w:rsid w:val="00AA7947"/>
    <w:rsid w:val="00AD2E02"/>
    <w:rsid w:val="00AE6F49"/>
    <w:rsid w:val="00AF25D5"/>
    <w:rsid w:val="00AF6B77"/>
    <w:rsid w:val="00B02170"/>
    <w:rsid w:val="00B050E7"/>
    <w:rsid w:val="00B6245E"/>
    <w:rsid w:val="00B65242"/>
    <w:rsid w:val="00C14664"/>
    <w:rsid w:val="00C76513"/>
    <w:rsid w:val="00C8543C"/>
    <w:rsid w:val="00C963D2"/>
    <w:rsid w:val="00CA0ACD"/>
    <w:rsid w:val="00CD498C"/>
    <w:rsid w:val="00CE670B"/>
    <w:rsid w:val="00CF47B8"/>
    <w:rsid w:val="00D1665C"/>
    <w:rsid w:val="00D41E0A"/>
    <w:rsid w:val="00D5516D"/>
    <w:rsid w:val="00D61A8C"/>
    <w:rsid w:val="00D62F67"/>
    <w:rsid w:val="00D844EA"/>
    <w:rsid w:val="00D86FCA"/>
    <w:rsid w:val="00DA37A9"/>
    <w:rsid w:val="00DA7C2B"/>
    <w:rsid w:val="00DC29B1"/>
    <w:rsid w:val="00DE78F0"/>
    <w:rsid w:val="00E17354"/>
    <w:rsid w:val="00E35F05"/>
    <w:rsid w:val="00E41A8E"/>
    <w:rsid w:val="00E5599E"/>
    <w:rsid w:val="00E61187"/>
    <w:rsid w:val="00E643A8"/>
    <w:rsid w:val="00E74073"/>
    <w:rsid w:val="00E77E0A"/>
    <w:rsid w:val="00E8036A"/>
    <w:rsid w:val="00E86160"/>
    <w:rsid w:val="00E91A5B"/>
    <w:rsid w:val="00E94D2F"/>
    <w:rsid w:val="00EA7B06"/>
    <w:rsid w:val="00EB0215"/>
    <w:rsid w:val="00EC275C"/>
    <w:rsid w:val="00ED3021"/>
    <w:rsid w:val="00EE022B"/>
    <w:rsid w:val="00EF3ADD"/>
    <w:rsid w:val="00F26B42"/>
    <w:rsid w:val="00F72AD4"/>
    <w:rsid w:val="00F820E8"/>
    <w:rsid w:val="00FB6B43"/>
    <w:rsid w:val="00FC53ED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25A39"/>
  <w15:chartTrackingRefBased/>
  <w15:docId w15:val="{D83A7036-EEFD-4FF9-86AD-AC3C0569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866BE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866BE9"/>
    <w:rPr>
      <w:rFonts w:ascii="Calibri" w:eastAsia="Times New Roman" w:hAnsi="Calibri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50D0"/>
  </w:style>
  <w:style w:type="paragraph" w:styleId="Kjene">
    <w:name w:val="footer"/>
    <w:basedOn w:val="Parasts"/>
    <w:link w:val="Kj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50D0"/>
  </w:style>
  <w:style w:type="character" w:styleId="Hipersaite">
    <w:name w:val="Hyperlink"/>
    <w:basedOn w:val="Noklusjumarindkopasfonts"/>
    <w:uiPriority w:val="99"/>
    <w:unhideWhenUsed/>
    <w:rsid w:val="0052215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215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A7947"/>
    <w:pPr>
      <w:ind w:left="720"/>
      <w:contextualSpacing/>
    </w:pPr>
  </w:style>
  <w:style w:type="table" w:styleId="Reatabula">
    <w:name w:val="Table Grid"/>
    <w:basedOn w:val="Parastatabula"/>
    <w:uiPriority w:val="39"/>
    <w:rsid w:val="00A4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D2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ie_pakalpojumi@plavina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zkraukle.lv/lv/cenu-aptauj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4896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Svētiņa</dc:creator>
  <cp:keywords/>
  <dc:description/>
  <cp:lastModifiedBy>User</cp:lastModifiedBy>
  <cp:revision>14</cp:revision>
  <dcterms:created xsi:type="dcterms:W3CDTF">2022-03-15T12:41:00Z</dcterms:created>
  <dcterms:modified xsi:type="dcterms:W3CDTF">2022-03-28T13:08:00Z</dcterms:modified>
</cp:coreProperties>
</file>