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3907C829" w14:textId="77777777" w:rsidR="00B76329" w:rsidRPr="00B76329" w:rsidRDefault="00B76329" w:rsidP="00B76329">
                            <w:pPr>
                              <w:spacing w:after="0" w:line="240" w:lineRule="auto"/>
                              <w:jc w:val="right"/>
                              <w:rPr>
                                <w:bCs/>
                                <w:iCs/>
                                <w:szCs w:val="24"/>
                                <w:highlight w:val="darkGray"/>
                              </w:rPr>
                            </w:pPr>
                            <w:permStart w:id="600714780" w:edGrp="everyone"/>
                            <w:r w:rsidRPr="00B76329">
                              <w:rPr>
                                <w:bCs/>
                                <w:iCs/>
                                <w:sz w:val="22"/>
                                <w:highlight w:val="darkGray"/>
                              </w:rPr>
                              <w:t>APSTIPRINĀTS</w:t>
                            </w:r>
                          </w:p>
                          <w:p w14:paraId="008FEB96" w14:textId="77777777" w:rsidR="00B76329" w:rsidRPr="00B76329" w:rsidRDefault="00473871" w:rsidP="00B76329">
                            <w:pPr>
                              <w:spacing w:after="0" w:line="240" w:lineRule="auto"/>
                              <w:jc w:val="right"/>
                              <w:rPr>
                                <w:bCs/>
                                <w:iCs/>
                                <w:szCs w:val="24"/>
                                <w:highlight w:val="darkGray"/>
                              </w:rPr>
                            </w:pPr>
                            <w:r w:rsidRPr="00B76329">
                              <w:rPr>
                                <w:bCs/>
                                <w:iCs/>
                                <w:szCs w:val="24"/>
                                <w:highlight w:val="darkGray"/>
                              </w:rPr>
                              <w:t xml:space="preserve"> Aizkraukles novada domes</w:t>
                            </w:r>
                          </w:p>
                          <w:p w14:paraId="0B947DC9" w14:textId="77777777" w:rsidR="00B76329" w:rsidRPr="00B76329" w:rsidRDefault="00B76329" w:rsidP="00B76329">
                            <w:pPr>
                              <w:spacing w:after="0" w:line="240" w:lineRule="auto"/>
                              <w:jc w:val="right"/>
                              <w:rPr>
                                <w:bCs/>
                                <w:iCs/>
                                <w:szCs w:val="24"/>
                              </w:rPr>
                            </w:pPr>
                            <w:r w:rsidRPr="00B76329">
                              <w:rPr>
                                <w:bCs/>
                                <w:iCs/>
                                <w:szCs w:val="24"/>
                                <w:highlight w:val="darkGray"/>
                              </w:rPr>
                              <w:t>2022.gada 17.marta</w:t>
                            </w:r>
                            <w:r w:rsidR="00473871" w:rsidRPr="00B76329">
                              <w:rPr>
                                <w:bCs/>
                                <w:iCs/>
                                <w:szCs w:val="24"/>
                                <w:highlight w:val="darkGray"/>
                              </w:rPr>
                              <w:t xml:space="preserve"> sēdē</w:t>
                            </w:r>
                          </w:p>
                          <w:p w14:paraId="1A44EA41" w14:textId="1E8CC673" w:rsidR="00B76329" w:rsidRDefault="00473871" w:rsidP="00B76329">
                            <w:pPr>
                              <w:spacing w:after="0" w:line="240" w:lineRule="auto"/>
                              <w:jc w:val="right"/>
                              <w:rPr>
                                <w:b/>
                                <w:iCs/>
                                <w:szCs w:val="24"/>
                              </w:rPr>
                            </w:pPr>
                            <w:r w:rsidRPr="00B76329">
                              <w:rPr>
                                <w:bCs/>
                                <w:iCs/>
                                <w:szCs w:val="24"/>
                              </w:rPr>
                              <w:t xml:space="preserve"> </w:t>
                            </w:r>
                            <w:r w:rsidR="00B76329">
                              <w:rPr>
                                <w:bCs/>
                                <w:iCs/>
                                <w:szCs w:val="24"/>
                              </w:rPr>
                              <w:t xml:space="preserve">ar </w:t>
                            </w:r>
                            <w:r w:rsidRPr="00B76329">
                              <w:rPr>
                                <w:bCs/>
                                <w:iCs/>
                                <w:szCs w:val="24"/>
                              </w:rPr>
                              <w:t>lēmum</w:t>
                            </w:r>
                            <w:r w:rsidR="00B76329">
                              <w:rPr>
                                <w:bCs/>
                                <w:iCs/>
                                <w:szCs w:val="24"/>
                              </w:rPr>
                              <w:t>u</w:t>
                            </w:r>
                            <w:r w:rsidRPr="00B76329">
                              <w:rPr>
                                <w:bCs/>
                                <w:iCs/>
                                <w:szCs w:val="24"/>
                              </w:rPr>
                              <w:t xml:space="preserve"> Nr.</w:t>
                            </w:r>
                            <w:r w:rsidR="00B76329" w:rsidRPr="00B76329">
                              <w:rPr>
                                <w:b/>
                                <w:iCs/>
                                <w:szCs w:val="24"/>
                              </w:rPr>
                              <w:t>13</w:t>
                            </w:r>
                            <w:r w:rsidR="00B76329">
                              <w:rPr>
                                <w:b/>
                                <w:iCs/>
                                <w:szCs w:val="24"/>
                              </w:rPr>
                              <w:t>5</w:t>
                            </w:r>
                            <w:r w:rsidR="00B76329" w:rsidRPr="00B76329">
                              <w:rPr>
                                <w:b/>
                                <w:iCs/>
                                <w:szCs w:val="24"/>
                              </w:rPr>
                              <w:t>.</w:t>
                            </w:r>
                          </w:p>
                          <w:p w14:paraId="0BBC4D8A" w14:textId="52BE9B19" w:rsidR="005A5B4C" w:rsidRPr="00B76329" w:rsidRDefault="00CC7653" w:rsidP="00B76329">
                            <w:pPr>
                              <w:spacing w:after="0" w:line="240" w:lineRule="auto"/>
                              <w:jc w:val="right"/>
                              <w:rPr>
                                <w:bCs/>
                                <w:iCs/>
                                <w:color w:val="CCCCCC" w:themeColor="background2" w:themeTint="66"/>
                              </w:rPr>
                            </w:pPr>
                            <w:r w:rsidRPr="00B76329">
                              <w:rPr>
                                <w:bCs/>
                                <w:iCs/>
                                <w:szCs w:val="24"/>
                              </w:rPr>
                              <w:t xml:space="preserve">protokols </w:t>
                            </w:r>
                            <w:r w:rsidR="00B76329">
                              <w:rPr>
                                <w:bCs/>
                                <w:iCs/>
                                <w:szCs w:val="24"/>
                              </w:rPr>
                              <w:t>N</w:t>
                            </w:r>
                            <w:r w:rsidRPr="00B76329">
                              <w:rPr>
                                <w:bCs/>
                                <w:iCs/>
                                <w:szCs w:val="24"/>
                              </w:rPr>
                              <w:t>r</w:t>
                            </w:r>
                            <w:r w:rsidR="00B76329" w:rsidRPr="00B76329">
                              <w:rPr>
                                <w:bCs/>
                                <w:iCs/>
                                <w:szCs w:val="24"/>
                              </w:rPr>
                              <w:t>.6., 17.p.</w:t>
                            </w:r>
                            <w:r w:rsidR="00473871" w:rsidRPr="00B76329">
                              <w:rPr>
                                <w:bCs/>
                                <w:iCs/>
                                <w:szCs w:val="24"/>
                              </w:rPr>
                              <w:t>_</w:t>
                            </w:r>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orFw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" filled="f" stroked="f" strokeweight=".5pt">
                <v:textbox>
                  <w:txbxContent>
                    <w:p w14:paraId="3907C829" w14:textId="77777777" w:rsidR="00B76329" w:rsidRPr="00B76329" w:rsidRDefault="00B76329" w:rsidP="00B76329">
                      <w:pPr>
                        <w:spacing w:after="0" w:line="240" w:lineRule="auto"/>
                        <w:jc w:val="right"/>
                        <w:rPr>
                          <w:bCs/>
                          <w:iCs/>
                          <w:szCs w:val="24"/>
                          <w:highlight w:val="darkGray"/>
                        </w:rPr>
                      </w:pPr>
                      <w:permStart w:id="600714780" w:edGrp="everyone"/>
                      <w:r w:rsidRPr="00B76329">
                        <w:rPr>
                          <w:bCs/>
                          <w:iCs/>
                          <w:sz w:val="22"/>
                          <w:highlight w:val="darkGray"/>
                        </w:rPr>
                        <w:t>APSTIPRINĀTS</w:t>
                      </w:r>
                    </w:p>
                    <w:p w14:paraId="008FEB96" w14:textId="77777777" w:rsidR="00B76329" w:rsidRPr="00B76329" w:rsidRDefault="00473871" w:rsidP="00B76329">
                      <w:pPr>
                        <w:spacing w:after="0" w:line="240" w:lineRule="auto"/>
                        <w:jc w:val="right"/>
                        <w:rPr>
                          <w:bCs/>
                          <w:iCs/>
                          <w:szCs w:val="24"/>
                          <w:highlight w:val="darkGray"/>
                        </w:rPr>
                      </w:pPr>
                      <w:r w:rsidRPr="00B76329">
                        <w:rPr>
                          <w:bCs/>
                          <w:iCs/>
                          <w:szCs w:val="24"/>
                          <w:highlight w:val="darkGray"/>
                        </w:rPr>
                        <w:t xml:space="preserve"> Aizkraukles novada domes</w:t>
                      </w:r>
                    </w:p>
                    <w:p w14:paraId="0B947DC9" w14:textId="77777777" w:rsidR="00B76329" w:rsidRPr="00B76329" w:rsidRDefault="00B76329" w:rsidP="00B76329">
                      <w:pPr>
                        <w:spacing w:after="0" w:line="240" w:lineRule="auto"/>
                        <w:jc w:val="right"/>
                        <w:rPr>
                          <w:bCs/>
                          <w:iCs/>
                          <w:szCs w:val="24"/>
                        </w:rPr>
                      </w:pPr>
                      <w:r w:rsidRPr="00B76329">
                        <w:rPr>
                          <w:bCs/>
                          <w:iCs/>
                          <w:szCs w:val="24"/>
                          <w:highlight w:val="darkGray"/>
                        </w:rPr>
                        <w:t>2022.gada 17.marta</w:t>
                      </w:r>
                      <w:r w:rsidR="00473871" w:rsidRPr="00B76329">
                        <w:rPr>
                          <w:bCs/>
                          <w:iCs/>
                          <w:szCs w:val="24"/>
                          <w:highlight w:val="darkGray"/>
                        </w:rPr>
                        <w:t xml:space="preserve"> sēdē</w:t>
                      </w:r>
                    </w:p>
                    <w:p w14:paraId="1A44EA41" w14:textId="1E8CC673" w:rsidR="00B76329" w:rsidRDefault="00473871" w:rsidP="00B76329">
                      <w:pPr>
                        <w:spacing w:after="0" w:line="240" w:lineRule="auto"/>
                        <w:jc w:val="right"/>
                        <w:rPr>
                          <w:b/>
                          <w:iCs/>
                          <w:szCs w:val="24"/>
                        </w:rPr>
                      </w:pPr>
                      <w:r w:rsidRPr="00B76329">
                        <w:rPr>
                          <w:bCs/>
                          <w:iCs/>
                          <w:szCs w:val="24"/>
                        </w:rPr>
                        <w:t xml:space="preserve"> </w:t>
                      </w:r>
                      <w:r w:rsidR="00B76329">
                        <w:rPr>
                          <w:bCs/>
                          <w:iCs/>
                          <w:szCs w:val="24"/>
                        </w:rPr>
                        <w:t xml:space="preserve">ar </w:t>
                      </w:r>
                      <w:r w:rsidRPr="00B76329">
                        <w:rPr>
                          <w:bCs/>
                          <w:iCs/>
                          <w:szCs w:val="24"/>
                        </w:rPr>
                        <w:t>lēmum</w:t>
                      </w:r>
                      <w:r w:rsidR="00B76329">
                        <w:rPr>
                          <w:bCs/>
                          <w:iCs/>
                          <w:szCs w:val="24"/>
                        </w:rPr>
                        <w:t>u</w:t>
                      </w:r>
                      <w:r w:rsidRPr="00B76329">
                        <w:rPr>
                          <w:bCs/>
                          <w:iCs/>
                          <w:szCs w:val="24"/>
                        </w:rPr>
                        <w:t xml:space="preserve"> Nr.</w:t>
                      </w:r>
                      <w:r w:rsidR="00B76329" w:rsidRPr="00B76329">
                        <w:rPr>
                          <w:b/>
                          <w:iCs/>
                          <w:szCs w:val="24"/>
                        </w:rPr>
                        <w:t>13</w:t>
                      </w:r>
                      <w:r w:rsidR="00B76329">
                        <w:rPr>
                          <w:b/>
                          <w:iCs/>
                          <w:szCs w:val="24"/>
                        </w:rPr>
                        <w:t>5</w:t>
                      </w:r>
                      <w:r w:rsidR="00B76329" w:rsidRPr="00B76329">
                        <w:rPr>
                          <w:b/>
                          <w:iCs/>
                          <w:szCs w:val="24"/>
                        </w:rPr>
                        <w:t>.</w:t>
                      </w:r>
                    </w:p>
                    <w:p w14:paraId="0BBC4D8A" w14:textId="52BE9B19" w:rsidR="005A5B4C" w:rsidRPr="00B76329" w:rsidRDefault="00CC7653" w:rsidP="00B76329">
                      <w:pPr>
                        <w:spacing w:after="0" w:line="240" w:lineRule="auto"/>
                        <w:jc w:val="right"/>
                        <w:rPr>
                          <w:bCs/>
                          <w:iCs/>
                          <w:color w:val="CCCCCC" w:themeColor="background2" w:themeTint="66"/>
                        </w:rPr>
                      </w:pPr>
                      <w:r w:rsidRPr="00B76329">
                        <w:rPr>
                          <w:bCs/>
                          <w:iCs/>
                          <w:szCs w:val="24"/>
                        </w:rPr>
                        <w:t xml:space="preserve">protokols </w:t>
                      </w:r>
                      <w:r w:rsidR="00B76329">
                        <w:rPr>
                          <w:bCs/>
                          <w:iCs/>
                          <w:szCs w:val="24"/>
                        </w:rPr>
                        <w:t>N</w:t>
                      </w:r>
                      <w:r w:rsidRPr="00B76329">
                        <w:rPr>
                          <w:bCs/>
                          <w:iCs/>
                          <w:szCs w:val="24"/>
                        </w:rPr>
                        <w:t>r</w:t>
                      </w:r>
                      <w:r w:rsidR="00B76329" w:rsidRPr="00B76329">
                        <w:rPr>
                          <w:bCs/>
                          <w:iCs/>
                          <w:szCs w:val="24"/>
                        </w:rPr>
                        <w:t>.6., 17.p.</w:t>
                      </w:r>
                      <w:r w:rsidR="00473871" w:rsidRPr="00B76329">
                        <w:rPr>
                          <w:bCs/>
                          <w:iCs/>
                          <w:szCs w:val="24"/>
                        </w:rPr>
                        <w:t>_</w:t>
                      </w:r>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7E6A3062"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A30578">
            <w:rPr>
              <w:szCs w:val="24"/>
              <w:lang w:val="lv-LV"/>
            </w:rPr>
            <w:t>Aizkraukles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1A1D90C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A30578">
            <w:rPr>
              <w:szCs w:val="24"/>
              <w:highlight w:val="lightGray"/>
              <w:lang w:val="lv-LV"/>
            </w:rPr>
            <w:t>www.aizkraukle.lv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38EAED10"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A30578">
            <w:rPr>
              <w:b/>
              <w:szCs w:val="24"/>
              <w:highlight w:val="lightGray"/>
              <w:lang w:val="lv-LV"/>
            </w:rPr>
            <w:t>22</w:t>
          </w:r>
          <w:r w:rsidR="00930FC8" w:rsidRPr="00930FC8">
            <w:rPr>
              <w:b/>
              <w:szCs w:val="24"/>
              <w:highlight w:val="lightGray"/>
              <w:lang w:val="lv-LV"/>
            </w:rPr>
            <w:t xml:space="preserve">. gada </w:t>
          </w:r>
          <w:r w:rsidR="00A30578">
            <w:rPr>
              <w:b/>
              <w:szCs w:val="24"/>
              <w:highlight w:val="lightGray"/>
              <w:lang w:val="lv-LV"/>
            </w:rPr>
            <w:t>29</w:t>
          </w:r>
          <w:r w:rsidR="00930FC8" w:rsidRPr="00930FC8">
            <w:rPr>
              <w:b/>
              <w:szCs w:val="24"/>
              <w:highlight w:val="lightGray"/>
              <w:lang w:val="lv-LV"/>
            </w:rPr>
            <w:t xml:space="preserve">. </w:t>
          </w:r>
          <w:r w:rsidR="00A30578">
            <w:rPr>
              <w:b/>
              <w:szCs w:val="24"/>
              <w:highlight w:val="lightGray"/>
              <w:lang w:val="lv-LV"/>
            </w:rPr>
            <w:t>aprīlis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6D517E04"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A30578">
            <w:rPr>
              <w:szCs w:val="24"/>
              <w:highlight w:val="lightGray"/>
              <w:lang w:val="lv-LV"/>
            </w:rPr>
            <w:t>2</w:t>
          </w:r>
          <w:r w:rsidR="00930FC8" w:rsidRPr="00930FC8">
            <w:rPr>
              <w:szCs w:val="24"/>
              <w:highlight w:val="lightGray"/>
              <w:lang w:val="lv-LV"/>
            </w:rPr>
            <w:t>(</w:t>
          </w:r>
          <w:r w:rsidR="00A30578">
            <w:rPr>
              <w:szCs w:val="24"/>
              <w:highlight w:val="lightGray"/>
              <w:lang w:val="lv-LV"/>
            </w:rPr>
            <w:t>divi</w:t>
          </w:r>
          <w:r w:rsidR="00930FC8" w:rsidRPr="00930FC8">
            <w:rPr>
              <w:szCs w:val="24"/>
              <w:highlight w:val="lightGray"/>
              <w:lang w:val="lv-LV"/>
            </w:rPr>
            <w:t>)</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2"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w:t>
      </w:r>
      <w:r w:rsidRPr="00652AF3">
        <w:rPr>
          <w:szCs w:val="24"/>
          <w:lang w:val="lv-LV"/>
        </w:rPr>
        <w:lastRenderedPageBreak/>
        <w:t>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2"/>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3341DE70"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90659E">
            <w:rPr>
              <w:szCs w:val="24"/>
              <w:lang w:val="lv-LV"/>
            </w:rPr>
            <w:t xml:space="preserve">Aizkraukles novada dome, </w:t>
          </w:r>
          <w:r w:rsidR="00E36335" w:rsidRPr="00E36335">
            <w:rPr>
              <w:szCs w:val="24"/>
              <w:lang w:val="lv-LV"/>
            </w:rPr>
            <w:t>Lāčplēša 1A, Aizkraukle, Aizkraukles novads, LV 5101</w:t>
          </w:r>
          <w:permEnd w:id="266286860"/>
        </w:sdtContent>
      </w:sdt>
      <w:r w:rsidRPr="00EC76BE">
        <w:rPr>
          <w:szCs w:val="24"/>
          <w:lang w:val="lv-LV"/>
        </w:rPr>
        <w:t>, iesniedzot personīgi, pasta sūtījumā vai nosūtot kā elektronisku dokumentu:</w:t>
      </w:r>
    </w:p>
    <w:p w14:paraId="060B000D" w14:textId="425D61CE"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 xml:space="preserve">Neatvērt līdz projektu </w:t>
      </w:r>
      <w:r w:rsidR="00765F20" w:rsidRPr="00EC76BE">
        <w:rPr>
          <w:szCs w:val="24"/>
          <w:lang w:val="lv-LV"/>
        </w:rPr>
        <w:lastRenderedPageBreak/>
        <w:t>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C7653" w:rsidRPr="00CC7653">
                <w:rPr>
                  <w:szCs w:val="24"/>
                  <w:lang w:val="lv-LV"/>
                </w:rPr>
                <w:t>aizkraukle@pakalpojumucentri.lv</w:t>
              </w:r>
              <w:r w:rsidR="00B96F30" w:rsidRPr="00B96F30">
                <w:rPr>
                  <w:szCs w:val="24"/>
                  <w:highlight w:val="lightGray"/>
                  <w:lang w:val="lv-LV"/>
                </w:rPr>
                <w:t xml:space="preserve"> </w:t>
              </w:r>
              <w:r w:rsidR="00CC7653">
                <w:rPr>
                  <w:szCs w:val="24"/>
                  <w:lang w:val="lv-LV"/>
                </w:rPr>
                <w:t>;</w:t>
              </w:r>
              <w:permEnd w:id="560359818"/>
            </w:sdtContent>
          </w:sdt>
        </w:sdtContent>
      </w:sdt>
    </w:p>
    <w:p w14:paraId="12081424" w14:textId="6080A596"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C7653" w:rsidRPr="00CC7653">
            <w:rPr>
              <w:szCs w:val="24"/>
              <w:lang w:val="lv-LV"/>
            </w:rPr>
            <w:t>aizkraukle@pakalpojumucentri.lv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en-GB"/>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8" w:name="389610"/>
      <w:bookmarkStart w:id="19" w:name="piel2"/>
      <w:bookmarkEnd w:id="18"/>
      <w:bookmarkEnd w:id="19"/>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0" w:name="389606"/>
      <w:r w:rsidRPr="00EC76BE">
        <w:rPr>
          <w:noProof/>
          <w:lang w:eastAsia="en-GB"/>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0"/>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en-GB"/>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en-GB"/>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1" w:name="_Hlk5700781"/>
      <w:r>
        <w:rPr>
          <w:b/>
          <w:szCs w:val="24"/>
          <w:shd w:val="clear" w:color="auto" w:fill="FFFFFF"/>
        </w:rPr>
        <w:t>P</w:t>
      </w:r>
      <w:r w:rsidRPr="007025EA">
        <w:rPr>
          <w:b/>
          <w:szCs w:val="24"/>
          <w:shd w:val="clear" w:color="auto" w:fill="FFFFFF"/>
        </w:rPr>
        <w:t>rojektu iesniegumu vērtēšanas kritēriji</w:t>
      </w:r>
    </w:p>
    <w:bookmarkEnd w:id="21"/>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E954" w14:textId="77777777" w:rsidR="00706ECC" w:rsidRDefault="00706ECC" w:rsidP="0038492F">
      <w:r>
        <w:separator/>
      </w:r>
    </w:p>
    <w:p w14:paraId="0D673D5F" w14:textId="77777777" w:rsidR="00706ECC" w:rsidRDefault="00706ECC" w:rsidP="0038492F"/>
  </w:endnote>
  <w:endnote w:type="continuationSeparator" w:id="0">
    <w:p w14:paraId="335141CF" w14:textId="77777777" w:rsidR="00706ECC" w:rsidRDefault="00706ECC" w:rsidP="0038492F">
      <w:r>
        <w:continuationSeparator/>
      </w:r>
    </w:p>
    <w:p w14:paraId="4F56748B" w14:textId="77777777" w:rsidR="00706ECC" w:rsidRDefault="00706ECC" w:rsidP="0038492F"/>
  </w:endnote>
  <w:endnote w:type="continuationNotice" w:id="1">
    <w:p w14:paraId="2443F5A9" w14:textId="77777777" w:rsidR="00706ECC" w:rsidRDefault="00706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C5DE" w14:textId="77777777" w:rsidR="00706ECC" w:rsidRDefault="00706ECC" w:rsidP="0038492F">
      <w:r>
        <w:separator/>
      </w:r>
    </w:p>
    <w:p w14:paraId="3871A380" w14:textId="77777777" w:rsidR="00706ECC" w:rsidRDefault="00706ECC" w:rsidP="0038492F"/>
  </w:footnote>
  <w:footnote w:type="continuationSeparator" w:id="0">
    <w:p w14:paraId="08E77084" w14:textId="77777777" w:rsidR="00706ECC" w:rsidRDefault="00706ECC" w:rsidP="0038492F">
      <w:r>
        <w:continuationSeparator/>
      </w:r>
    </w:p>
    <w:p w14:paraId="31D430AD" w14:textId="77777777" w:rsidR="00706ECC" w:rsidRDefault="00706ECC" w:rsidP="0038492F"/>
  </w:footnote>
  <w:footnote w:type="continuationNotice" w:id="1">
    <w:p w14:paraId="4DCDD096" w14:textId="77777777" w:rsidR="00706ECC" w:rsidRDefault="00706ECC">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F5" w14:textId="77777777" w:rsidR="001E148E" w:rsidRDefault="001E148E" w:rsidP="006431C1">
    <w:pPr>
      <w:pStyle w:val="Galvene"/>
      <w:jc w:val="right"/>
    </w:pPr>
    <w:r>
      <w:rPr>
        <w:noProof/>
        <w:lang w:val="en-GB" w:eastAsia="en-GB"/>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2301"/>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142D"/>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871"/>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33C7B"/>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06ECC"/>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659E"/>
    <w:rsid w:val="00907E1A"/>
    <w:rsid w:val="00912167"/>
    <w:rsid w:val="009129DB"/>
    <w:rsid w:val="00912BC7"/>
    <w:rsid w:val="00913563"/>
    <w:rsid w:val="00916BFF"/>
    <w:rsid w:val="00917AB1"/>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0578"/>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6329"/>
    <w:rsid w:val="00B77A55"/>
    <w:rsid w:val="00B8272D"/>
    <w:rsid w:val="00B8420A"/>
    <w:rsid w:val="00B85593"/>
    <w:rsid w:val="00B877FE"/>
    <w:rsid w:val="00B96F30"/>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653"/>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6335"/>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0540C"/>
    <w:rsid w:val="002F1844"/>
    <w:rsid w:val="00403825"/>
    <w:rsid w:val="0040489C"/>
    <w:rsid w:val="004242C3"/>
    <w:rsid w:val="004E2A67"/>
    <w:rsid w:val="004F437D"/>
    <w:rsid w:val="00513CA3"/>
    <w:rsid w:val="005307B0"/>
    <w:rsid w:val="005D0524"/>
    <w:rsid w:val="00665286"/>
    <w:rsid w:val="0086087E"/>
    <w:rsid w:val="009956CA"/>
    <w:rsid w:val="00B67A75"/>
    <w:rsid w:val="00CD380B"/>
    <w:rsid w:val="00D23486"/>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D3F0-BB54-4B2A-8513-D6C039D170DF}">
  <ds:schemaRefs>
    <ds:schemaRef ds:uri="http://schemas.openxmlformats.org/officeDocument/2006/bibliography"/>
  </ds:schemaRefs>
</ds:datastoreItem>
</file>

<file path=customXml/itemProps2.xml><?xml version="1.0" encoding="utf-8"?>
<ds:datastoreItem xmlns:ds="http://schemas.openxmlformats.org/officeDocument/2006/customXml" ds:itemID="{5A21AF2A-9684-47E3-A6FF-F1995D2A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TotalTime>
  <Pages>24</Pages>
  <Words>21728</Words>
  <Characters>12386</Characters>
  <Application>Microsoft Office Word</Application>
  <DocSecurity>8</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Daiga Naroga</cp:lastModifiedBy>
  <cp:revision>2</cp:revision>
  <cp:lastPrinted>2019-02-22T11:59:00Z</cp:lastPrinted>
  <dcterms:created xsi:type="dcterms:W3CDTF">2022-03-21T07:25:00Z</dcterms:created>
  <dcterms:modified xsi:type="dcterms:W3CDTF">2022-03-21T07:25:00Z</dcterms:modified>
</cp:coreProperties>
</file>